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ind w:left="0" w:leftChars="0" w:firstLine="0" w:firstLineChars="0"/>
        <w:jc w:val="center"/>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《2020年度</w:t>
      </w:r>
      <w:r>
        <w:rPr>
          <w:rFonts w:hint="eastAsia" w:ascii="仿宋_GB2312" w:hAnsi="仿宋_GB2312" w:eastAsia="仿宋_GB2312" w:cs="仿宋_GB2312"/>
          <w:b/>
          <w:bCs/>
          <w:color w:val="333333"/>
          <w:kern w:val="0"/>
          <w:sz w:val="32"/>
          <w:szCs w:val="32"/>
          <w:lang w:eastAsia="zh-CN"/>
        </w:rPr>
        <w:t>咸</w:t>
      </w:r>
      <w:bookmarkStart w:id="0" w:name="_GoBack"/>
      <w:bookmarkEnd w:id="0"/>
      <w:r>
        <w:rPr>
          <w:rFonts w:hint="eastAsia" w:ascii="仿宋_GB2312" w:hAnsi="仿宋_GB2312" w:eastAsia="仿宋_GB2312" w:cs="仿宋_GB2312"/>
          <w:b/>
          <w:bCs/>
          <w:color w:val="333333"/>
          <w:kern w:val="0"/>
          <w:sz w:val="32"/>
          <w:szCs w:val="32"/>
          <w:lang w:eastAsia="zh-CN"/>
        </w:rPr>
        <w:t>宁市民政局</w:t>
      </w:r>
      <w:r>
        <w:rPr>
          <w:rFonts w:hint="eastAsia" w:ascii="仿宋_GB2312" w:hAnsi="仿宋_GB2312" w:eastAsia="仿宋_GB2312" w:cs="仿宋_GB2312"/>
          <w:b/>
          <w:bCs/>
          <w:color w:val="333333"/>
          <w:kern w:val="0"/>
          <w:sz w:val="32"/>
          <w:szCs w:val="32"/>
        </w:rPr>
        <w:t>部门整体绩效自评结果》</w:t>
      </w:r>
    </w:p>
    <w:p>
      <w:pPr>
        <w:pStyle w:val="5"/>
        <w:spacing w:line="480" w:lineRule="exact"/>
        <w:ind w:left="0" w:leftChars="0" w:firstLine="0" w:firstLineChars="0"/>
        <w:jc w:val="center"/>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摘要版</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一、自评得分</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2020年度咸宁市民政局部门整体绩效自评得分为95分，其中：预算执行情况得分为20分；产出指标得分40分；效益指标得分35分。</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二、部门整体绩效目标完成情况</w:t>
      </w:r>
    </w:p>
    <w:p>
      <w:pPr>
        <w:ind w:firstLine="572" w:firstLineChars="200"/>
        <w:jc w:val="both"/>
        <w:rPr>
          <w:rFonts w:hint="eastAsia" w:ascii="仿宋" w:hAnsi="仿宋" w:eastAsia="仿宋" w:cs="仿宋"/>
          <w:sz w:val="32"/>
          <w:szCs w:val="32"/>
        </w:rPr>
      </w:pPr>
      <w:r>
        <w:rPr>
          <w:rFonts w:hint="eastAsia" w:ascii="仿宋" w:hAnsi="仿宋" w:eastAsia="仿宋" w:cs="仿宋"/>
          <w:spacing w:val="-17"/>
          <w:sz w:val="32"/>
          <w:szCs w:val="32"/>
        </w:rPr>
        <w:t>（一）</w:t>
      </w:r>
      <w:r>
        <w:rPr>
          <w:rFonts w:hint="eastAsia" w:ascii="仿宋" w:hAnsi="仿宋" w:eastAsia="仿宋" w:cs="仿宋"/>
          <w:sz w:val="32"/>
          <w:szCs w:val="32"/>
        </w:rPr>
        <w:t>预算执行率情况。</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2020年度收入年初预算数为32,739,600.00元，调整预算数为56,172,895.39元，决算数为56,172,895.39元。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2020年度支出年初预算数为32,739,600.00元，调整预算数为56,172,895.39元，决算数为56,172,895.39元。</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2020年度预算执行率=（支出决算数÷调整预算数）×100%=（56,172,895.39元÷56,172,895.39元）×100%=100%</w:t>
      </w:r>
    </w:p>
    <w:p>
      <w:pPr>
        <w:ind w:firstLine="572" w:firstLineChars="200"/>
        <w:jc w:val="both"/>
        <w:rPr>
          <w:rFonts w:hint="eastAsia" w:ascii="仿宋" w:hAnsi="仿宋" w:eastAsia="仿宋" w:cs="仿宋"/>
          <w:sz w:val="32"/>
          <w:szCs w:val="32"/>
        </w:rPr>
      </w:pPr>
      <w:r>
        <w:rPr>
          <w:rFonts w:hint="eastAsia" w:ascii="仿宋" w:hAnsi="仿宋" w:eastAsia="仿宋" w:cs="仿宋"/>
          <w:snapToGrid w:val="0"/>
          <w:spacing w:val="-17"/>
          <w:sz w:val="32"/>
          <w:szCs w:val="32"/>
        </w:rPr>
        <w:t>（二）</w:t>
      </w:r>
      <w:r>
        <w:rPr>
          <w:rFonts w:hint="eastAsia" w:ascii="仿宋" w:hAnsi="仿宋" w:eastAsia="仿宋" w:cs="仿宋"/>
          <w:sz w:val="32"/>
          <w:szCs w:val="32"/>
        </w:rPr>
        <w:t>完成的绩效目标、未完成的绩效目标。</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完成的绩效目标</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1、坚决打赢民政领域脱贫攻坚战</w:t>
      </w:r>
      <w:r>
        <w:rPr>
          <w:rFonts w:hint="eastAsia" w:ascii="仿宋" w:hAnsi="仿宋" w:eastAsia="仿宋" w:cs="仿宋"/>
          <w:sz w:val="32"/>
          <w:szCs w:val="32"/>
          <w:lang w:eastAsia="zh-CN"/>
        </w:rPr>
        <w:t>，</w:t>
      </w:r>
      <w:r>
        <w:rPr>
          <w:rFonts w:hint="eastAsia" w:ascii="仿宋" w:hAnsi="仿宋" w:eastAsia="仿宋" w:cs="仿宋"/>
          <w:sz w:val="32"/>
          <w:szCs w:val="32"/>
        </w:rPr>
        <w:t>强化低保与扶贫开发有效衔接，强化农村贫困人口低保倾斜政策，强化特殊贫困群体兜底保障，整合运用好民政脱贫攻坚资源。</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2、持续健全基本民生保障体系</w:t>
      </w:r>
      <w:r>
        <w:rPr>
          <w:rFonts w:hint="eastAsia" w:ascii="仿宋" w:hAnsi="仿宋" w:eastAsia="仿宋" w:cs="仿宋"/>
          <w:sz w:val="32"/>
          <w:szCs w:val="32"/>
          <w:lang w:eastAsia="zh-CN"/>
        </w:rPr>
        <w:t>，</w:t>
      </w:r>
      <w:r>
        <w:rPr>
          <w:rFonts w:hint="eastAsia" w:ascii="仿宋" w:hAnsi="仿宋" w:eastAsia="仿宋" w:cs="仿宋"/>
          <w:sz w:val="32"/>
          <w:szCs w:val="32"/>
        </w:rPr>
        <w:t>规范落实社会救助政策</w:t>
      </w:r>
      <w:r>
        <w:rPr>
          <w:rFonts w:hint="eastAsia" w:ascii="仿宋" w:hAnsi="仿宋" w:eastAsia="仿宋" w:cs="仿宋"/>
          <w:sz w:val="32"/>
          <w:szCs w:val="32"/>
          <w:lang w:eastAsia="zh-CN"/>
        </w:rPr>
        <w:t>，</w:t>
      </w:r>
      <w:r>
        <w:rPr>
          <w:rFonts w:hint="eastAsia" w:ascii="仿宋" w:hAnsi="仿宋" w:eastAsia="仿宋" w:cs="仿宋"/>
          <w:sz w:val="32"/>
          <w:szCs w:val="32"/>
        </w:rPr>
        <w:t>深入推进农村低保专项治理工作</w:t>
      </w:r>
      <w:r>
        <w:rPr>
          <w:rFonts w:hint="eastAsia" w:ascii="仿宋" w:hAnsi="仿宋" w:eastAsia="仿宋" w:cs="仿宋"/>
          <w:sz w:val="32"/>
          <w:szCs w:val="32"/>
          <w:lang w:eastAsia="zh-CN"/>
        </w:rPr>
        <w:t>，</w:t>
      </w:r>
      <w:r>
        <w:rPr>
          <w:rFonts w:hint="eastAsia" w:ascii="仿宋" w:hAnsi="仿宋" w:eastAsia="仿宋" w:cs="仿宋"/>
          <w:sz w:val="32"/>
          <w:szCs w:val="32"/>
        </w:rPr>
        <w:t>推进社会救助改革创新提能增效。</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3、全面推进养老服务体系建设</w:t>
      </w:r>
      <w:r>
        <w:rPr>
          <w:rFonts w:hint="eastAsia" w:ascii="仿宋" w:hAnsi="仿宋" w:eastAsia="仿宋" w:cs="仿宋"/>
          <w:sz w:val="32"/>
          <w:szCs w:val="32"/>
          <w:lang w:eastAsia="zh-CN"/>
        </w:rPr>
        <w:t>，</w:t>
      </w:r>
      <w:r>
        <w:rPr>
          <w:rFonts w:hint="eastAsia" w:ascii="仿宋" w:hAnsi="仿宋" w:eastAsia="仿宋" w:cs="仿宋"/>
          <w:sz w:val="32"/>
          <w:szCs w:val="32"/>
        </w:rPr>
        <w:t>全面推进居家社区养老服务改革试点</w:t>
      </w:r>
      <w:r>
        <w:rPr>
          <w:rFonts w:hint="eastAsia" w:ascii="仿宋" w:hAnsi="仿宋" w:eastAsia="仿宋" w:cs="仿宋"/>
          <w:sz w:val="32"/>
          <w:szCs w:val="32"/>
          <w:lang w:eastAsia="zh-CN"/>
        </w:rPr>
        <w:t>，</w:t>
      </w:r>
      <w:r>
        <w:rPr>
          <w:rFonts w:hint="eastAsia" w:ascii="仿宋" w:hAnsi="仿宋" w:eastAsia="仿宋" w:cs="仿宋"/>
          <w:sz w:val="32"/>
          <w:szCs w:val="32"/>
        </w:rPr>
        <w:t>着力推进智慧养老服务平台建设和运营。着力推进城企联动普惠养老专项行动</w:t>
      </w:r>
      <w:r>
        <w:rPr>
          <w:rFonts w:hint="eastAsia" w:ascii="仿宋" w:hAnsi="仿宋" w:eastAsia="仿宋" w:cs="仿宋"/>
          <w:sz w:val="32"/>
          <w:szCs w:val="32"/>
          <w:lang w:eastAsia="zh-CN"/>
        </w:rPr>
        <w:t>，</w:t>
      </w:r>
      <w:r>
        <w:rPr>
          <w:rFonts w:hint="eastAsia" w:ascii="仿宋" w:hAnsi="仿宋" w:eastAsia="仿宋" w:cs="仿宋"/>
          <w:sz w:val="32"/>
          <w:szCs w:val="32"/>
        </w:rPr>
        <w:t>全面提升社区（村）居家养老（互助照料）服务中心运营水平</w:t>
      </w:r>
      <w:r>
        <w:rPr>
          <w:rFonts w:hint="eastAsia" w:ascii="仿宋" w:hAnsi="仿宋" w:eastAsia="仿宋" w:cs="仿宋"/>
          <w:sz w:val="32"/>
          <w:szCs w:val="32"/>
          <w:lang w:eastAsia="zh-CN"/>
        </w:rPr>
        <w:t>，</w:t>
      </w:r>
      <w:r>
        <w:rPr>
          <w:rFonts w:hint="eastAsia" w:ascii="仿宋" w:hAnsi="仿宋" w:eastAsia="仿宋" w:cs="仿宋"/>
          <w:sz w:val="32"/>
          <w:szCs w:val="32"/>
        </w:rPr>
        <w:t>完善老年人福利制度。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4、统筹推进社区治理与服务创新</w:t>
      </w:r>
      <w:r>
        <w:rPr>
          <w:rFonts w:hint="eastAsia" w:ascii="仿宋" w:hAnsi="仿宋" w:eastAsia="仿宋" w:cs="仿宋"/>
          <w:sz w:val="32"/>
          <w:szCs w:val="32"/>
          <w:lang w:eastAsia="zh-CN"/>
        </w:rPr>
        <w:t>，</w:t>
      </w:r>
      <w:r>
        <w:rPr>
          <w:rFonts w:hint="eastAsia" w:ascii="仿宋" w:hAnsi="仿宋" w:eastAsia="仿宋" w:cs="仿宋"/>
          <w:sz w:val="32"/>
          <w:szCs w:val="32"/>
        </w:rPr>
        <w:t>扎实推进全国社区治理与服务创新实验区建设</w:t>
      </w:r>
      <w:r>
        <w:rPr>
          <w:rFonts w:hint="eastAsia" w:ascii="仿宋" w:hAnsi="仿宋" w:eastAsia="仿宋" w:cs="仿宋"/>
          <w:sz w:val="32"/>
          <w:szCs w:val="32"/>
          <w:lang w:eastAsia="zh-CN"/>
        </w:rPr>
        <w:t>，</w:t>
      </w:r>
      <w:r>
        <w:rPr>
          <w:rFonts w:hint="eastAsia" w:ascii="仿宋" w:hAnsi="仿宋" w:eastAsia="仿宋" w:cs="仿宋"/>
          <w:sz w:val="32"/>
          <w:szCs w:val="32"/>
        </w:rPr>
        <w:t>着力开展社区公益创投</w:t>
      </w:r>
      <w:r>
        <w:rPr>
          <w:rFonts w:hint="eastAsia" w:ascii="仿宋" w:hAnsi="仿宋" w:eastAsia="仿宋" w:cs="仿宋"/>
          <w:sz w:val="32"/>
          <w:szCs w:val="32"/>
          <w:lang w:eastAsia="zh-CN"/>
        </w:rPr>
        <w:t>，</w:t>
      </w:r>
      <w:r>
        <w:rPr>
          <w:rFonts w:hint="eastAsia" w:ascii="仿宋" w:hAnsi="仿宋" w:eastAsia="仿宋" w:cs="仿宋"/>
          <w:sz w:val="32"/>
          <w:szCs w:val="32"/>
        </w:rPr>
        <w:t>深化基层群众自治实践</w:t>
      </w:r>
      <w:r>
        <w:rPr>
          <w:rFonts w:hint="eastAsia" w:ascii="仿宋" w:hAnsi="仿宋" w:eastAsia="仿宋" w:cs="仿宋"/>
          <w:sz w:val="32"/>
          <w:szCs w:val="32"/>
          <w:lang w:eastAsia="zh-CN"/>
        </w:rPr>
        <w:t>，</w:t>
      </w:r>
      <w:r>
        <w:rPr>
          <w:rFonts w:hint="eastAsia" w:ascii="仿宋" w:hAnsi="仿宋" w:eastAsia="仿宋" w:cs="仿宋"/>
          <w:sz w:val="32"/>
          <w:szCs w:val="32"/>
        </w:rPr>
        <w:t>推进乡镇信用体系建设</w:t>
      </w:r>
      <w:r>
        <w:rPr>
          <w:rFonts w:hint="eastAsia" w:ascii="仿宋" w:hAnsi="仿宋" w:eastAsia="仿宋" w:cs="仿宋"/>
          <w:sz w:val="32"/>
          <w:szCs w:val="32"/>
          <w:lang w:eastAsia="zh-CN"/>
        </w:rPr>
        <w:t>，</w:t>
      </w:r>
      <w:r>
        <w:rPr>
          <w:rFonts w:hint="eastAsia" w:ascii="仿宋" w:hAnsi="仿宋" w:eastAsia="仿宋" w:cs="仿宋"/>
          <w:sz w:val="32"/>
          <w:szCs w:val="32"/>
        </w:rPr>
        <w:t>深入开展扫黑除恶、宗族祠堂整治工作。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5、健全儿童福利服务体系</w:t>
      </w:r>
      <w:r>
        <w:rPr>
          <w:rFonts w:hint="eastAsia" w:ascii="仿宋" w:hAnsi="仿宋" w:eastAsia="仿宋" w:cs="仿宋"/>
          <w:sz w:val="32"/>
          <w:szCs w:val="32"/>
          <w:lang w:eastAsia="zh-CN"/>
        </w:rPr>
        <w:t>，</w:t>
      </w:r>
      <w:r>
        <w:rPr>
          <w:rFonts w:hint="eastAsia" w:ascii="仿宋" w:hAnsi="仿宋" w:eastAsia="仿宋" w:cs="仿宋"/>
          <w:sz w:val="32"/>
          <w:szCs w:val="32"/>
        </w:rPr>
        <w:t>完善和落实儿童福利制度</w:t>
      </w:r>
      <w:r>
        <w:rPr>
          <w:rFonts w:hint="eastAsia" w:ascii="仿宋" w:hAnsi="仿宋" w:eastAsia="仿宋" w:cs="仿宋"/>
          <w:sz w:val="32"/>
          <w:szCs w:val="32"/>
          <w:lang w:eastAsia="zh-CN"/>
        </w:rPr>
        <w:t>，</w:t>
      </w:r>
      <w:r>
        <w:rPr>
          <w:rFonts w:hint="eastAsia" w:ascii="仿宋" w:hAnsi="仿宋" w:eastAsia="仿宋" w:cs="仿宋"/>
          <w:sz w:val="32"/>
          <w:szCs w:val="32"/>
        </w:rPr>
        <w:t>完善农村留守儿童关爱服务体系。</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6、着力推进社会组织健康有序发展</w:t>
      </w:r>
      <w:r>
        <w:rPr>
          <w:rFonts w:hint="eastAsia" w:ascii="仿宋" w:hAnsi="仿宋" w:eastAsia="仿宋" w:cs="仿宋"/>
          <w:sz w:val="32"/>
          <w:szCs w:val="32"/>
          <w:lang w:eastAsia="zh-CN"/>
        </w:rPr>
        <w:t>，</w:t>
      </w:r>
      <w:r>
        <w:rPr>
          <w:rFonts w:hint="eastAsia" w:ascii="仿宋" w:hAnsi="仿宋" w:eastAsia="仿宋" w:cs="仿宋"/>
          <w:sz w:val="32"/>
          <w:szCs w:val="32"/>
        </w:rPr>
        <w:t>党建统领发展</w:t>
      </w:r>
      <w:r>
        <w:rPr>
          <w:rFonts w:hint="eastAsia" w:ascii="仿宋" w:hAnsi="仿宋" w:eastAsia="仿宋" w:cs="仿宋"/>
          <w:sz w:val="32"/>
          <w:szCs w:val="32"/>
          <w:lang w:eastAsia="zh-CN"/>
        </w:rPr>
        <w:t>，</w:t>
      </w:r>
      <w:r>
        <w:rPr>
          <w:rFonts w:hint="eastAsia" w:ascii="仿宋" w:hAnsi="仿宋" w:eastAsia="仿宋" w:cs="仿宋"/>
          <w:sz w:val="32"/>
          <w:szCs w:val="32"/>
        </w:rPr>
        <w:t>加大培育扶持</w:t>
      </w:r>
      <w:r>
        <w:rPr>
          <w:rFonts w:hint="eastAsia" w:ascii="仿宋" w:hAnsi="仿宋" w:eastAsia="仿宋" w:cs="仿宋"/>
          <w:sz w:val="32"/>
          <w:szCs w:val="32"/>
          <w:lang w:eastAsia="zh-CN"/>
        </w:rPr>
        <w:t>，</w:t>
      </w:r>
      <w:r>
        <w:rPr>
          <w:rFonts w:hint="eastAsia" w:ascii="仿宋" w:hAnsi="仿宋" w:eastAsia="仿宋" w:cs="仿宋"/>
          <w:sz w:val="32"/>
          <w:szCs w:val="32"/>
        </w:rPr>
        <w:t>完善综合监管。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7、推进慈善和社会工作事业发展</w:t>
      </w:r>
      <w:r>
        <w:rPr>
          <w:rFonts w:hint="eastAsia" w:ascii="仿宋" w:hAnsi="仿宋" w:eastAsia="仿宋" w:cs="仿宋"/>
          <w:sz w:val="32"/>
          <w:szCs w:val="32"/>
          <w:lang w:eastAsia="zh-CN"/>
        </w:rPr>
        <w:t>，</w:t>
      </w:r>
      <w:r>
        <w:rPr>
          <w:rFonts w:hint="eastAsia" w:ascii="仿宋" w:hAnsi="仿宋" w:eastAsia="仿宋" w:cs="仿宋"/>
          <w:sz w:val="32"/>
          <w:szCs w:val="32"/>
        </w:rPr>
        <w:t>加快发展慈善事业</w:t>
      </w:r>
      <w:r>
        <w:rPr>
          <w:rFonts w:hint="eastAsia" w:ascii="仿宋" w:hAnsi="仿宋" w:eastAsia="仿宋" w:cs="仿宋"/>
          <w:sz w:val="32"/>
          <w:szCs w:val="32"/>
          <w:lang w:eastAsia="zh-CN"/>
        </w:rPr>
        <w:t>，</w:t>
      </w:r>
      <w:r>
        <w:rPr>
          <w:rFonts w:hint="eastAsia" w:ascii="仿宋" w:hAnsi="仿宋" w:eastAsia="仿宋" w:cs="仿宋"/>
          <w:sz w:val="32"/>
          <w:szCs w:val="32"/>
        </w:rPr>
        <w:t>推动社会工作发展</w:t>
      </w:r>
      <w:r>
        <w:rPr>
          <w:rFonts w:hint="eastAsia" w:ascii="仿宋" w:hAnsi="仿宋" w:eastAsia="仿宋" w:cs="仿宋"/>
          <w:sz w:val="32"/>
          <w:szCs w:val="32"/>
          <w:lang w:eastAsia="zh-CN"/>
        </w:rPr>
        <w:t>，</w:t>
      </w:r>
      <w:r>
        <w:rPr>
          <w:rFonts w:hint="eastAsia" w:ascii="仿宋" w:hAnsi="仿宋" w:eastAsia="仿宋" w:cs="仿宋"/>
          <w:sz w:val="32"/>
          <w:szCs w:val="32"/>
        </w:rPr>
        <w:t>加快发展志愿服务</w:t>
      </w:r>
      <w:r>
        <w:rPr>
          <w:rFonts w:hint="eastAsia" w:ascii="仿宋" w:hAnsi="仿宋" w:eastAsia="仿宋" w:cs="仿宋"/>
          <w:sz w:val="32"/>
          <w:szCs w:val="32"/>
          <w:lang w:eastAsia="zh-CN"/>
        </w:rPr>
        <w:t>，</w:t>
      </w:r>
      <w:r>
        <w:rPr>
          <w:rFonts w:hint="eastAsia" w:ascii="仿宋" w:hAnsi="仿宋" w:eastAsia="仿宋" w:cs="仿宋"/>
          <w:sz w:val="32"/>
          <w:szCs w:val="32"/>
        </w:rPr>
        <w:t>大力发展福彩事业。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8、切实加强社会事务管理服务</w:t>
      </w:r>
      <w:r>
        <w:rPr>
          <w:rFonts w:hint="eastAsia" w:ascii="仿宋" w:hAnsi="仿宋" w:eastAsia="仿宋" w:cs="仿宋"/>
          <w:sz w:val="32"/>
          <w:szCs w:val="32"/>
          <w:lang w:eastAsia="zh-CN"/>
        </w:rPr>
        <w:t>，</w:t>
      </w:r>
      <w:r>
        <w:rPr>
          <w:rFonts w:hint="eastAsia" w:ascii="仿宋" w:hAnsi="仿宋" w:eastAsia="仿宋" w:cs="仿宋"/>
          <w:sz w:val="32"/>
          <w:szCs w:val="32"/>
        </w:rPr>
        <w:t>稳步推进殡葬改革</w:t>
      </w:r>
      <w:r>
        <w:rPr>
          <w:rFonts w:hint="eastAsia" w:ascii="仿宋" w:hAnsi="仿宋" w:eastAsia="仿宋" w:cs="仿宋"/>
          <w:sz w:val="32"/>
          <w:szCs w:val="32"/>
          <w:lang w:eastAsia="zh-CN"/>
        </w:rPr>
        <w:t>，</w:t>
      </w:r>
      <w:r>
        <w:rPr>
          <w:rFonts w:hint="eastAsia" w:ascii="仿宋" w:hAnsi="仿宋" w:eastAsia="仿宋" w:cs="仿宋"/>
          <w:sz w:val="32"/>
          <w:szCs w:val="32"/>
        </w:rPr>
        <w:t>积极推进殡葬领域突出问题整治</w:t>
      </w:r>
      <w:r>
        <w:rPr>
          <w:rFonts w:hint="eastAsia" w:ascii="仿宋" w:hAnsi="仿宋" w:eastAsia="仿宋" w:cs="仿宋"/>
          <w:sz w:val="32"/>
          <w:szCs w:val="32"/>
          <w:lang w:eastAsia="zh-CN"/>
        </w:rPr>
        <w:t>，</w:t>
      </w:r>
      <w:r>
        <w:rPr>
          <w:rFonts w:hint="eastAsia" w:ascii="仿宋" w:hAnsi="仿宋" w:eastAsia="仿宋" w:cs="仿宋"/>
          <w:sz w:val="32"/>
          <w:szCs w:val="32"/>
        </w:rPr>
        <w:t>提升救助管理服务质量。加强婚姻管理规范化建设</w:t>
      </w:r>
      <w:r>
        <w:rPr>
          <w:rFonts w:hint="eastAsia" w:ascii="仿宋" w:hAnsi="仿宋" w:eastAsia="仿宋" w:cs="仿宋"/>
          <w:sz w:val="32"/>
          <w:szCs w:val="32"/>
          <w:lang w:eastAsia="zh-CN"/>
        </w:rPr>
        <w:t>，</w:t>
      </w:r>
      <w:r>
        <w:rPr>
          <w:rFonts w:hint="eastAsia" w:ascii="仿宋" w:hAnsi="仿宋" w:eastAsia="仿宋" w:cs="仿宋"/>
          <w:sz w:val="32"/>
          <w:szCs w:val="32"/>
        </w:rPr>
        <w:t>提升残疾人福利水平</w:t>
      </w:r>
      <w:r>
        <w:rPr>
          <w:rFonts w:hint="eastAsia" w:ascii="仿宋" w:hAnsi="仿宋" w:eastAsia="仿宋" w:cs="仿宋"/>
          <w:sz w:val="32"/>
          <w:szCs w:val="32"/>
          <w:lang w:eastAsia="zh-CN"/>
        </w:rPr>
        <w:t>，</w:t>
      </w:r>
      <w:r>
        <w:rPr>
          <w:rFonts w:hint="eastAsia" w:ascii="仿宋" w:hAnsi="仿宋" w:eastAsia="仿宋" w:cs="仿宋"/>
          <w:sz w:val="32"/>
          <w:szCs w:val="32"/>
        </w:rPr>
        <w:t>稳妥推进区划地名管理工作。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9、全面加强民政综合能力建设</w:t>
      </w:r>
      <w:r>
        <w:rPr>
          <w:rFonts w:hint="eastAsia" w:ascii="仿宋" w:hAnsi="仿宋" w:eastAsia="仿宋" w:cs="仿宋"/>
          <w:sz w:val="32"/>
          <w:szCs w:val="32"/>
          <w:lang w:eastAsia="zh-CN"/>
        </w:rPr>
        <w:t>，</w:t>
      </w:r>
      <w:r>
        <w:rPr>
          <w:rFonts w:hint="eastAsia" w:ascii="仿宋" w:hAnsi="仿宋" w:eastAsia="仿宋" w:cs="仿宋"/>
          <w:sz w:val="32"/>
          <w:szCs w:val="32"/>
        </w:rPr>
        <w:t>推进民政项目建设。加强民政法治化标准化建设</w:t>
      </w:r>
      <w:r>
        <w:rPr>
          <w:rFonts w:hint="eastAsia" w:ascii="仿宋" w:hAnsi="仿宋" w:eastAsia="仿宋" w:cs="仿宋"/>
          <w:sz w:val="32"/>
          <w:szCs w:val="32"/>
          <w:lang w:eastAsia="zh-CN"/>
        </w:rPr>
        <w:t>，</w:t>
      </w:r>
      <w:r>
        <w:rPr>
          <w:rFonts w:hint="eastAsia" w:ascii="仿宋" w:hAnsi="仿宋" w:eastAsia="仿宋" w:cs="仿宋"/>
          <w:sz w:val="32"/>
          <w:szCs w:val="32"/>
        </w:rPr>
        <w:t>深化民政改革创新</w:t>
      </w:r>
      <w:r>
        <w:rPr>
          <w:rFonts w:hint="eastAsia" w:ascii="仿宋" w:hAnsi="仿宋" w:eastAsia="仿宋" w:cs="仿宋"/>
          <w:sz w:val="32"/>
          <w:szCs w:val="32"/>
          <w:lang w:eastAsia="zh-CN"/>
        </w:rPr>
        <w:t>，</w:t>
      </w:r>
      <w:r>
        <w:rPr>
          <w:rFonts w:hint="eastAsia" w:ascii="仿宋" w:hAnsi="仿宋" w:eastAsia="仿宋" w:cs="仿宋"/>
          <w:sz w:val="32"/>
          <w:szCs w:val="32"/>
        </w:rPr>
        <w:t>科学编制“十四五”规划</w:t>
      </w:r>
      <w:r>
        <w:rPr>
          <w:rFonts w:hint="eastAsia" w:ascii="仿宋" w:hAnsi="仿宋" w:eastAsia="仿宋" w:cs="仿宋"/>
          <w:sz w:val="32"/>
          <w:szCs w:val="32"/>
          <w:lang w:eastAsia="zh-CN"/>
        </w:rPr>
        <w:t>，</w:t>
      </w:r>
      <w:r>
        <w:rPr>
          <w:rFonts w:hint="eastAsia" w:ascii="仿宋" w:hAnsi="仿宋" w:eastAsia="仿宋" w:cs="仿宋"/>
          <w:sz w:val="32"/>
          <w:szCs w:val="32"/>
        </w:rPr>
        <w:t>推进数字民政建设</w:t>
      </w:r>
      <w:r>
        <w:rPr>
          <w:rFonts w:hint="eastAsia" w:ascii="仿宋" w:hAnsi="仿宋" w:eastAsia="仿宋" w:cs="仿宋"/>
          <w:sz w:val="32"/>
          <w:szCs w:val="32"/>
          <w:lang w:eastAsia="zh-CN"/>
        </w:rPr>
        <w:t>，</w:t>
      </w:r>
      <w:r>
        <w:rPr>
          <w:rFonts w:hint="eastAsia" w:ascii="仿宋" w:hAnsi="仿宋" w:eastAsia="仿宋" w:cs="仿宋"/>
          <w:sz w:val="32"/>
          <w:szCs w:val="32"/>
        </w:rPr>
        <w:t>加强民政基础工作。</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10、坚持不懈推进全面从严治党，强化党的理论武装。提升机关党建水平。加强党风廉政建设。</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三、存在的问题和原因</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重点分析本年度预算执行、绩效目标完成情况存在的问题以及绩效指标偏离原因。</w:t>
      </w:r>
    </w:p>
    <w:p>
      <w:pPr>
        <w:spacing w:line="580" w:lineRule="exact"/>
        <w:ind w:firstLine="572" w:firstLineChars="200"/>
        <w:jc w:val="both"/>
        <w:rPr>
          <w:rFonts w:hint="eastAsia" w:ascii="仿宋" w:hAnsi="仿宋" w:eastAsia="仿宋" w:cs="仿宋"/>
          <w:spacing w:val="-17"/>
          <w:sz w:val="32"/>
          <w:szCs w:val="32"/>
        </w:rPr>
      </w:pPr>
      <w:r>
        <w:rPr>
          <w:rFonts w:hint="eastAsia" w:ascii="仿宋" w:hAnsi="仿宋" w:eastAsia="仿宋" w:cs="仿宋"/>
          <w:spacing w:val="-17"/>
          <w:sz w:val="32"/>
          <w:szCs w:val="32"/>
        </w:rPr>
        <w:t>（一）预算执行情况分析。</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2020年度收入年初预算数为32,739,600.00元，调整预算数为56,172,895.39元，决算数为56,172,895.39元。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2020年度支出年初预算数为32,739,600.00元，调整预算数为56,172,895.39元，决算数为56,172,895.39元。</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2020年度预算执行率=（支出决算数÷调整预算数）×100%=（56,172,895.39元÷56,172,895.39元）×100%=100%</w:t>
      </w:r>
    </w:p>
    <w:p>
      <w:pPr>
        <w:spacing w:line="580" w:lineRule="exact"/>
        <w:ind w:firstLine="572" w:firstLineChars="200"/>
        <w:jc w:val="both"/>
        <w:rPr>
          <w:rFonts w:hint="eastAsia" w:ascii="仿宋" w:hAnsi="仿宋" w:eastAsia="仿宋" w:cs="仿宋"/>
          <w:snapToGrid w:val="0"/>
          <w:spacing w:val="-17"/>
          <w:sz w:val="32"/>
          <w:szCs w:val="32"/>
        </w:rPr>
      </w:pPr>
      <w:r>
        <w:rPr>
          <w:rFonts w:hint="eastAsia" w:ascii="仿宋" w:hAnsi="仿宋" w:eastAsia="仿宋" w:cs="仿宋"/>
          <w:snapToGrid w:val="0"/>
          <w:spacing w:val="-17"/>
          <w:sz w:val="32"/>
          <w:szCs w:val="32"/>
        </w:rPr>
        <w:t>（二）绩效目标完成情况分析。</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1.产出指标完成情况分析。</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数量指标：（1）全面落实兜底脱贫行动。4月，市扶贫攻坚领导小组关于印发了《咸宁市社会救助兜底脱贫行动实施方案》（咸扶组发[2020]5号），按照兜准底、兜住底、兜牢底、兜好底的要求，明确了年度社会救助兜底脱贫目标、任务和措施。进一步健全完善监测预警机制，密切关注返贫致贫风险高人员、低收入困难人群、潜在救助对象等的基本生活状况；通过信息比对和入户排查，已将预警监测范围内的649人纳入低保保障范围；全市建档立卡贫困户中低保对象共计5.56万人，发放救助金1.84亿元；特困供养对象共计0.7万人，发放助金金8148万元。大幅提升社会救助保障水平。</w:t>
      </w:r>
      <w:r>
        <w:rPr>
          <w:rFonts w:hint="eastAsia" w:ascii="仿宋" w:hAnsi="仿宋" w:eastAsia="仿宋" w:cs="仿宋"/>
          <w:sz w:val="30"/>
          <w:szCs w:val="30"/>
          <w:lang w:val="en-US" w:eastAsia="zh-CN"/>
        </w:rPr>
        <w:t>2020年</w:t>
      </w:r>
      <w:r>
        <w:rPr>
          <w:rFonts w:hint="eastAsia" w:ascii="仿宋" w:hAnsi="仿宋" w:eastAsia="仿宋" w:cs="仿宋"/>
          <w:sz w:val="30"/>
          <w:szCs w:val="30"/>
        </w:rPr>
        <w:t>4月1日起，我市执行新一轮调标标准，城市低保每人每月623元，农村低保每人每年6133元，农村特困供养每人每年11020元，社会散居孤儿月人均保障标准1247元，福利机构集中供养孤儿年人均保障标准23936元，同比分别增长1.6%、5.1%、7.7%、1.6%、1.6%。全市共有城乡低保、特困供养对象119365人，共发放低保金、特困供养金、临时救助金、物价补贴等社会救助资金7.19亿元。（2）基层社会治理水平不断提升。深入开展社区治理实验区建设工作。市委书记孟祥伟主持召开全市社区治理实验区建设工作领导小组第二次会议并讲话，会议审议并通过了《2020年推进实验区建设工作事项清单》。对68个城市社区的470多个网格进行优化调整，新招聘社区网格员429人，投入资金4300余万元加强社区建设和保障人员经费。加快推进“智慧社区”试点工作,咸安区、崇阳县投入460万元在8个试点社区搭建社区综合信息服务平台，打造“居民的服务界面、社区的工作界面、政府的管理界面”。（3）养老服务体系建设成效初显。一是大力推进居家和社区养老服务改革试点。按照“分层分类”的思路，建立完善居家社区养老服务设施，整合省级及以下级财政资金3000余万元，已建设10个辐射式、15个嵌入式城乡社区长者康乐服务中心和20个社区微型长者康乐服务站，开办7个香城厨房，5个香城小超市等，并链接其他部门资源，整合香城书房、香城康乐活动中心、健康小屋、“十五分钟健身圈”等进社区，丰富老年人文体娱乐生活。按照发展“田园养老综合体、乡村养老合作社、互助养老中心户”的思路，实行“以房养老、以地养老、互助养老”，探索农村养老服务新模式。建成了“建设运营一盘棋、数据汇集一张网、线上线下一体化”的智慧养老平台，初步形成了居家社区机构相协调，医养,康养相结合的养老服务体系。启动了730户老年人家庭适老化改造、1200户老年人家庭喘息服务、养老服务人才队伍“百千万”工程等项目。二是深入开展养老机构服务质量建设专项行动。按照“分类供养、分区设置、分批推进、医养结合、自主运营和社会化运营相结合”的思路，围绕“提质增效”的改革目标，推进特困供养机构改革，大力提升机构的基础设施建设、服务水平和床位利用率，咸安区、嘉鱼县、赤壁市纳入全省特困供养服务机构体制机制改革试点。19家农村福利院“平安工程”项目全面完成，68家农村福利院安装空调892台，全面完成“冬暖工程”。加强安全隐患大排查大整改，联合消防、市场监管部门对全市19家民办养老机构和安全隐患较大的公办养老机构进行全面摸底排查，查找消防安全隐患，并列出问题清单，督办全面整改到位。三是认真做好高龄津贴监督检查发现问题整改工作。省厅反馈我市高龄津贴问题线索1638条，查否问题线索585条，查实问题线索1053条，全部整改到位，已停发高龄津贴1243人，追缴高龄津贴1204214.72元。为了有效杜绝对象死亡后继续发放补贴，我市积极推进将高龄津贴与社会救助资金实行按月同步发放，由县、乡、村三级将低保对象和高龄老人摸底核查、统计上报、动态调整、资金发放时间做到“四统一”。目前，市本级、咸安区、嘉鱼县、通城县、崇阳县已实现按月发放，赤壁市、通山县按季发放。（4）大力开展志愿服务工作。全市在“中国志愿服务网”注册志愿团体461个，实名注册志愿者34.7万人，占常住居民人口比例13.09%。五是福彩事业健康发展。全年福彩销售1.63亿元，圆满完成全年发行任务。</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质量指标：全年工作扎实有序的稳步推进。</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时效指标：</w:t>
      </w:r>
      <w:r>
        <w:rPr>
          <w:rFonts w:hint="eastAsia" w:ascii="仿宋" w:hAnsi="仿宋" w:eastAsia="仿宋" w:cs="仿宋"/>
          <w:sz w:val="30"/>
          <w:szCs w:val="30"/>
          <w:lang w:val="en-US" w:eastAsia="zh-CN"/>
        </w:rPr>
        <w:t>2020</w:t>
      </w:r>
      <w:r>
        <w:rPr>
          <w:rFonts w:hint="eastAsia" w:ascii="仿宋" w:hAnsi="仿宋" w:eastAsia="仿宋" w:cs="仿宋"/>
          <w:sz w:val="30"/>
          <w:szCs w:val="30"/>
        </w:rPr>
        <w:t>年内完成。</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成本指标：根据预决算结果如实披露。</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2.效益指标完成情况分析。</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社会效益指标：进一步增强民政兜底保障能力方面：大幅提升社会救助水平，全面落实特困供养制度，推动农村低保专项治理，加大医疗救助力度，提升临时救助水平，推进防灾减灾救灾体制机制改革，及时高效有序应对自然灾害，落实残疾人两项补贴制度，加强救助管理机构及其托养机构排查整改工作，巩固提高火化率，加强农村留守儿童关爱保护工作。在社会管理创新，进一步提高服务管理水平方面：深入推进殡葬改革领域突出问题专项整治行动，推进城乡社区治理和乡镇政府服务能力建设，促进社会组织健康有序发展，促进专业社会工作、志愿服务发展，深入推进区划地名工作，推进宗族祠堂治理。在养老产业发展，进一步提升养老服务水平工作方面：建立经济困难的高龄、失能老人补贴制度，切实做好农村留守老人关爱服务工作，深入推进城乡社区居家养老服务，深入推进养老服务质量提升专项行动。</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经济效益指标：完善城市环境，为人民群众提供坚实有力的保障力量，增强城市核心竞争力。</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生态效益指标：深入贯彻落实党的十八大、十八届三中、四中和五中、六中全会精神、习近平总书记系列重要讲话精神，围绕“打造中国中部绿心、建设国际生态城市”的发展定位和“绿色决定生死、市场决定取舍、民生决定目的”的要求，坚持以绿色发展为引领，着力加强生态文明建设。</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可持续发展指标：城市综合载体功能增强，为城市后期绿色发展提供强有力的支持。</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四、下一步拟改进措施</w:t>
      </w:r>
    </w:p>
    <w:p>
      <w:pPr>
        <w:ind w:firstLine="572" w:firstLineChars="200"/>
        <w:jc w:val="both"/>
        <w:rPr>
          <w:rFonts w:hint="eastAsia" w:ascii="仿宋" w:hAnsi="仿宋" w:eastAsia="仿宋" w:cs="仿宋"/>
          <w:sz w:val="32"/>
          <w:szCs w:val="32"/>
          <w:lang w:eastAsia="zh-CN"/>
        </w:rPr>
      </w:pPr>
      <w:r>
        <w:rPr>
          <w:rFonts w:hint="eastAsia" w:ascii="仿宋" w:hAnsi="仿宋" w:eastAsia="仿宋" w:cs="仿宋"/>
          <w:snapToGrid w:val="0"/>
          <w:spacing w:val="-17"/>
          <w:sz w:val="32"/>
          <w:szCs w:val="32"/>
        </w:rPr>
        <w:t>（一）</w:t>
      </w:r>
      <w:r>
        <w:rPr>
          <w:rFonts w:hint="eastAsia" w:ascii="仿宋" w:hAnsi="仿宋" w:eastAsia="仿宋" w:cs="仿宋"/>
          <w:sz w:val="32"/>
          <w:szCs w:val="32"/>
        </w:rPr>
        <w:t>下一步拟改进措施</w:t>
      </w:r>
      <w:r>
        <w:rPr>
          <w:rFonts w:hint="eastAsia" w:ascii="仿宋" w:hAnsi="仿宋" w:eastAsia="仿宋" w:cs="仿宋"/>
          <w:sz w:val="32"/>
          <w:szCs w:val="32"/>
          <w:lang w:eastAsia="zh-CN"/>
        </w:rPr>
        <w:t>。</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进一步细化各个工作任务年度绩效目标，坚持以绩效目标为导向，加强对工作任务的细化管理。</w:t>
      </w:r>
    </w:p>
    <w:p>
      <w:pPr>
        <w:ind w:firstLine="572" w:firstLineChars="200"/>
        <w:jc w:val="both"/>
        <w:rPr>
          <w:rFonts w:hint="eastAsia" w:ascii="仿宋" w:hAnsi="仿宋" w:eastAsia="仿宋" w:cs="仿宋"/>
          <w:sz w:val="32"/>
          <w:szCs w:val="32"/>
        </w:rPr>
      </w:pPr>
      <w:r>
        <w:rPr>
          <w:rFonts w:hint="eastAsia" w:ascii="仿宋" w:hAnsi="仿宋" w:eastAsia="仿宋" w:cs="仿宋"/>
          <w:snapToGrid w:val="0"/>
          <w:spacing w:val="-17"/>
          <w:sz w:val="32"/>
          <w:szCs w:val="32"/>
        </w:rPr>
        <w:t>（二）</w:t>
      </w:r>
      <w:r>
        <w:rPr>
          <w:rFonts w:hint="eastAsia" w:ascii="仿宋" w:hAnsi="仿宋" w:eastAsia="仿宋" w:cs="仿宋"/>
          <w:sz w:val="32"/>
          <w:szCs w:val="32"/>
        </w:rPr>
        <w:t>拟与预算安排相结合情况。</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积极统计每年部门整体绩效情况，为下年的部门工作提供导向支持。此次部门整体绩效自评报告拟在我委官网公开。</w:t>
      </w:r>
    </w:p>
    <w:p>
      <w:pPr>
        <w:jc w:val="center"/>
        <w:rPr>
          <w:rFonts w:hint="eastAsia" w:ascii="方正小标宋简体" w:hAnsi="宋体" w:eastAsia="方正小标宋简体"/>
          <w:sz w:val="36"/>
          <w:szCs w:val="36"/>
        </w:rPr>
      </w:pPr>
      <w:r>
        <w:rPr>
          <w:rFonts w:hint="eastAsia" w:ascii="方正小标宋简体" w:hAnsi="宋体" w:eastAsia="方正小标宋简体" w:cs="方正小标宋简体"/>
          <w:sz w:val="36"/>
          <w:szCs w:val="36"/>
        </w:rPr>
        <w:br w:type="page"/>
      </w:r>
      <w:r>
        <w:rPr>
          <w:rFonts w:hint="eastAsia" w:ascii="方正小标宋简体" w:hAnsi="宋体" w:eastAsia="方正小标宋简体" w:cs="方正小标宋简体"/>
          <w:sz w:val="36"/>
          <w:szCs w:val="36"/>
        </w:rPr>
        <w:t>2020年度</w:t>
      </w:r>
      <w:r>
        <w:rPr>
          <w:rFonts w:hint="eastAsia" w:ascii="方正小标宋简体" w:hAnsi="宋体" w:eastAsia="方正小标宋简体" w:cs="方正小标宋简体"/>
          <w:sz w:val="36"/>
          <w:szCs w:val="36"/>
          <w:lang w:val="en-US" w:eastAsia="zh-CN"/>
        </w:rPr>
        <w:t>咸宁市民政局</w:t>
      </w:r>
      <w:r>
        <w:rPr>
          <w:rFonts w:hint="eastAsia" w:ascii="方正小标宋简体" w:hAnsi="宋体" w:eastAsia="方正小标宋简体" w:cs="方正小标宋简体"/>
          <w:sz w:val="36"/>
          <w:szCs w:val="36"/>
        </w:rPr>
        <w:t>部门整体绩效自评表</w:t>
      </w:r>
    </w:p>
    <w:p>
      <w:pPr>
        <w:widowControl/>
        <w:jc w:val="left"/>
        <w:rPr>
          <w:rFonts w:hint="eastAsia" w:ascii="楷体_GB2312" w:hAnsi="仿宋" w:eastAsia="楷体_GB2312" w:cs="楷体_GB2312"/>
          <w:kern w:val="0"/>
          <w:sz w:val="28"/>
          <w:szCs w:val="28"/>
        </w:rPr>
      </w:pPr>
    </w:p>
    <w:p>
      <w:pPr>
        <w:widowControl/>
        <w:jc w:val="left"/>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咸宁市民政局</w:t>
      </w:r>
      <w:r>
        <w:rPr>
          <w:rFonts w:hint="eastAsia"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2021年03月30日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76"/>
        <w:gridCol w:w="1122"/>
        <w:gridCol w:w="757"/>
        <w:gridCol w:w="562"/>
        <w:gridCol w:w="923"/>
        <w:gridCol w:w="394"/>
        <w:gridCol w:w="1466"/>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单位名称</w:t>
            </w:r>
          </w:p>
        </w:tc>
        <w:tc>
          <w:tcPr>
            <w:tcW w:w="7420" w:type="dxa"/>
            <w:gridSpan w:val="8"/>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lang w:val="en-US" w:eastAsia="zh-CN"/>
              </w:rPr>
              <w:t>咸宁市民政局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基本支出总额</w:t>
            </w:r>
          </w:p>
        </w:tc>
        <w:tc>
          <w:tcPr>
            <w:tcW w:w="3364" w:type="dxa"/>
            <w:gridSpan w:val="4"/>
            <w:noWrap w:val="0"/>
            <w:vAlign w:val="center"/>
          </w:tcPr>
          <w:p>
            <w:pPr>
              <w:widowControl/>
              <w:snapToGrid w:val="0"/>
              <w:spacing w:line="520" w:lineRule="exact"/>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891.48万元</w:t>
            </w:r>
          </w:p>
        </w:tc>
        <w:tc>
          <w:tcPr>
            <w:tcW w:w="1860"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项目支出总额</w:t>
            </w:r>
          </w:p>
        </w:tc>
        <w:tc>
          <w:tcPr>
            <w:tcW w:w="2196" w:type="dxa"/>
            <w:gridSpan w:val="2"/>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cs="仿宋_GB2312"/>
                <w:kern w:val="0"/>
                <w:lang w:val="en-US" w:eastAsia="zh-CN"/>
              </w:rPr>
              <w:t>3,621.22万元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（2</w:t>
            </w:r>
            <w:r>
              <w:rPr>
                <w:rFonts w:ascii="仿宋_GB2312" w:hAnsi="宋体" w:eastAsia="仿宋_GB2312" w:cs="仿宋_GB2312"/>
                <w:kern w:val="0"/>
              </w:rPr>
              <w:t>0</w:t>
            </w:r>
            <w:r>
              <w:rPr>
                <w:rFonts w:hint="eastAsia" w:ascii="仿宋_GB2312" w:hAnsi="宋体" w:eastAsia="仿宋_GB2312" w:cs="仿宋_GB2312"/>
                <w:kern w:val="0"/>
              </w:rPr>
              <w:t>分）</w:t>
            </w:r>
          </w:p>
        </w:tc>
        <w:tc>
          <w:tcPr>
            <w:tcW w:w="1122" w:type="dxa"/>
            <w:vMerge w:val="restart"/>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部门整体支出总额</w:t>
            </w:r>
          </w:p>
        </w:tc>
        <w:tc>
          <w:tcPr>
            <w:tcW w:w="1319"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noWrap w:val="0"/>
            <w:vAlign w:val="center"/>
          </w:tcPr>
          <w:p>
            <w:pPr>
              <w:widowControl/>
              <w:snapToGrid w:val="0"/>
              <w:spacing w:line="520" w:lineRule="exact"/>
              <w:jc w:val="center"/>
              <w:rPr>
                <w:rFonts w:ascii="仿宋_GB2312" w:hAnsi="宋体" w:eastAsia="仿宋_GB2312"/>
                <w:kern w:val="0"/>
              </w:rPr>
            </w:pPr>
          </w:p>
        </w:tc>
        <w:tc>
          <w:tcPr>
            <w:tcW w:w="1122" w:type="dxa"/>
            <w:vMerge w:val="continue"/>
            <w:noWrap w:val="0"/>
            <w:vAlign w:val="center"/>
          </w:tcPr>
          <w:p>
            <w:pPr>
              <w:widowControl/>
              <w:snapToGrid w:val="0"/>
              <w:spacing w:line="520" w:lineRule="exact"/>
              <w:jc w:val="center"/>
              <w:rPr>
                <w:rFonts w:ascii="仿宋_GB2312" w:hAnsi="宋体" w:eastAsia="仿宋_GB2312"/>
                <w:kern w:val="0"/>
              </w:rPr>
            </w:pPr>
          </w:p>
        </w:tc>
        <w:tc>
          <w:tcPr>
            <w:tcW w:w="1319" w:type="dxa"/>
            <w:gridSpan w:val="2"/>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5,617.29</w:t>
            </w:r>
          </w:p>
        </w:tc>
        <w:tc>
          <w:tcPr>
            <w:tcW w:w="1317" w:type="dxa"/>
            <w:gridSpan w:val="2"/>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5,617.29</w:t>
            </w:r>
          </w:p>
        </w:tc>
        <w:tc>
          <w:tcPr>
            <w:tcW w:w="1466"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2"/>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1528" w:type="dxa"/>
            <w:gridSpan w:val="2"/>
            <w:noWrap w:val="0"/>
            <w:vAlign w:val="center"/>
          </w:tcPr>
          <w:p>
            <w:pPr>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年度目标</w:t>
            </w:r>
          </w:p>
        </w:tc>
        <w:tc>
          <w:tcPr>
            <w:tcW w:w="7420" w:type="dxa"/>
            <w:gridSpan w:val="8"/>
            <w:noWrap w:val="0"/>
            <w:vAlign w:val="center"/>
          </w:tcPr>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1、坚决打赢民政领域脱贫攻坚战，强化低保与扶贫开发有效衔接，强化农村贫困人口低保倾斜政策，强化特殊贫困群体兜底保障，整合运用好民政脱贫攻坚资源。</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2、持续健全基本民生保障体系，规范落实社会救助政策，深入推进农村低保专项治理工作，推进社会救助改革创新提能增效。</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3、全面推进养老服务体系建设，全面推进居家社区养老服务改革试点，着力推进智慧养老服务平台建设和运营。着力推进城企联动普惠养老专项行动，全面提升社区（村）居家养老（互助照料）服务中心运营水平，完善老年人福利制度。</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4、统筹推进社区治理与服务创新，扎实推进全国社区治理与服务创新实验区建设，着力开展社区公益创投，深化基层群众自治实践，推进乡镇信用体系建设，深入开展扫黑除恶、宗族祠堂整治工作。</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5、健全儿童福利服务体系，完善和落实儿童福利制度，完善农村留守儿童关爱服务体系。</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6、着力推进社会组织健康有序发展，党建统领发展，加大培育扶持，完善综合监管。</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7、推进慈善和社会工作事业发展，加快发展慈善事业，推动社会工作发展，加快发展志愿服务，大力发展福彩事业。</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8、切实加强社会事务管理服务，稳步推进殡葬改革，积极推进殡葬领域突出问题整治，提升救助管理服务质量。加强婚姻管理规范化建设，提升残疾人福利水平，稳妥推进区划地名管理工作。</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9、全面加强民政综合能力建设，推进民政项目建设。加强民政法治化标准化建设，深化民政改革创新，科学编制“十四五”规划，推进数字民政建设，加强民政基础工作。</w:t>
            </w:r>
          </w:p>
          <w:p>
            <w:pPr>
              <w:snapToGrid w:val="0"/>
              <w:spacing w:line="520" w:lineRule="exact"/>
              <w:jc w:val="left"/>
              <w:rPr>
                <w:rFonts w:hint="eastAsia" w:ascii="仿宋_GB2312" w:hAnsi="宋体" w:eastAsia="仿宋_GB2312" w:cs="仿宋_GB2312"/>
                <w:kern w:val="0"/>
              </w:rPr>
            </w:pPr>
            <w:r>
              <w:rPr>
                <w:rFonts w:hint="eastAsia" w:ascii="仿宋_GB2312" w:hAnsi="宋体" w:eastAsia="仿宋_GB2312" w:cs="仿宋_GB2312"/>
                <w:kern w:val="0"/>
              </w:rPr>
              <w:t>10、坚持不懈推进全面从严治党，强化党的理论武装。提升机关党建水平。加强党风廉政建设。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restart"/>
            <w:noWrap w:val="0"/>
            <w:vAlign w:val="center"/>
          </w:tcPr>
          <w:p>
            <w:pPr>
              <w:widowControl/>
              <w:snapToGrid w:val="0"/>
              <w:spacing w:line="520" w:lineRule="exact"/>
              <w:jc w:val="center"/>
              <w:rPr>
                <w:rFonts w:hint="eastAsia" w:ascii="仿宋_GB2312" w:hAnsi="宋体" w:eastAsia="仿宋_GB2312"/>
                <w:kern w:val="0"/>
              </w:rPr>
            </w:pPr>
            <w:r>
              <w:rPr>
                <w:rFonts w:hint="eastAsia" w:ascii="仿宋_GB2312" w:hAnsi="宋体" w:eastAsia="仿宋_GB2312" w:cs="仿宋_GB2312"/>
                <w:kern w:val="0"/>
              </w:rPr>
              <w:t>年度绩效目标</w:t>
            </w:r>
          </w:p>
        </w:tc>
        <w:tc>
          <w:tcPr>
            <w:tcW w:w="976" w:type="dxa"/>
            <w:noWrap w:val="0"/>
            <w:vAlign w:val="center"/>
          </w:tcPr>
          <w:p>
            <w:pPr>
              <w:widowControl/>
              <w:snapToGrid w:val="0"/>
              <w:spacing w:line="240" w:lineRule="exact"/>
              <w:jc w:val="center"/>
              <w:rPr>
                <w:rFonts w:hint="eastAsia" w:ascii="仿宋_GB2312" w:hAnsi="宋体" w:eastAsia="仿宋_GB2312" w:cs="仿宋_GB2312"/>
                <w:kern w:val="0"/>
              </w:rPr>
            </w:pPr>
            <w:r>
              <w:rPr>
                <w:rFonts w:hint="eastAsia" w:ascii="仿宋_GB2312" w:hAnsi="宋体" w:eastAsia="仿宋_GB2312" w:cs="仿宋_GB2312"/>
                <w:kern w:val="0"/>
              </w:rPr>
              <w:t>一级</w:t>
            </w:r>
          </w:p>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879" w:type="dxa"/>
            <w:gridSpan w:val="2"/>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879" w:type="dxa"/>
            <w:gridSpan w:val="3"/>
            <w:noWrap w:val="0"/>
            <w:vAlign w:val="center"/>
          </w:tcPr>
          <w:p>
            <w:pPr>
              <w:widowControl/>
              <w:snapToGrid w:val="0"/>
              <w:spacing w:line="24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noWrap w:val="0"/>
            <w:vAlign w:val="center"/>
          </w:tcPr>
          <w:p>
            <w:pPr>
              <w:widowControl/>
              <w:snapToGrid w:val="0"/>
              <w:spacing w:line="520" w:lineRule="exact"/>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产出</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sz w:val="20"/>
                <w:szCs w:val="22"/>
              </w:rPr>
              <w:t>（40分）</w:t>
            </w: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兜底脱贫行动</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全市建档立卡贫困户中低保对象</w:t>
            </w:r>
          </w:p>
        </w:tc>
        <w:tc>
          <w:tcPr>
            <w:tcW w:w="1466" w:type="dxa"/>
            <w:noWrap w:val="0"/>
            <w:vAlign w:val="center"/>
          </w:tcPr>
          <w:p>
            <w:pPr>
              <w:widowControl/>
              <w:snapToGrid w:val="0"/>
              <w:spacing w:line="520" w:lineRule="exact"/>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5万人</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5.56万人</w:t>
            </w:r>
          </w:p>
        </w:tc>
        <w:tc>
          <w:tcPr>
            <w:tcW w:w="877"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兜底脱贫行动</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特困供养对象</w:t>
            </w:r>
          </w:p>
        </w:tc>
        <w:tc>
          <w:tcPr>
            <w:tcW w:w="1466" w:type="dxa"/>
            <w:noWrap w:val="0"/>
            <w:vAlign w:val="center"/>
          </w:tcPr>
          <w:p>
            <w:pPr>
              <w:widowControl/>
              <w:snapToGrid w:val="0"/>
              <w:spacing w:line="520" w:lineRule="exact"/>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0.5万人</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0.7万人</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提升社会救助保障水平</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执行</w:t>
            </w:r>
            <w:r>
              <w:rPr>
                <w:rFonts w:hint="eastAsia" w:ascii="仿宋_GB2312" w:hAnsi="宋体" w:eastAsia="仿宋_GB2312" w:cs="仿宋_GB2312"/>
                <w:kern w:val="0"/>
              </w:rPr>
              <w:t>新一轮调标标准城市低保</w:t>
            </w:r>
          </w:p>
        </w:tc>
        <w:tc>
          <w:tcPr>
            <w:tcW w:w="1466" w:type="dxa"/>
            <w:noWrap w:val="0"/>
            <w:vAlign w:val="center"/>
          </w:tcPr>
          <w:p>
            <w:pPr>
              <w:widowControl/>
              <w:snapToGrid w:val="0"/>
              <w:spacing w:line="520" w:lineRule="exact"/>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产生增幅</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增长1.6%</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提升社会救助保障水平</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执行</w:t>
            </w:r>
            <w:r>
              <w:rPr>
                <w:rFonts w:hint="eastAsia" w:ascii="仿宋_GB2312" w:hAnsi="宋体" w:eastAsia="仿宋_GB2312" w:cs="仿宋_GB2312"/>
                <w:kern w:val="0"/>
              </w:rPr>
              <w:t>新一轮调标标准农村低保</w:t>
            </w: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产生增幅</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增长5.1%</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提升社会救助保障水平</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执行</w:t>
            </w:r>
            <w:r>
              <w:rPr>
                <w:rFonts w:hint="eastAsia" w:ascii="仿宋_GB2312" w:hAnsi="宋体" w:eastAsia="仿宋_GB2312" w:cs="仿宋_GB2312"/>
                <w:kern w:val="0"/>
              </w:rPr>
              <w:t>新一轮调标标准农村特困供养</w:t>
            </w:r>
          </w:p>
          <w:p>
            <w:pPr>
              <w:widowControl/>
              <w:snapToGrid w:val="0"/>
              <w:spacing w:line="520" w:lineRule="exact"/>
              <w:jc w:val="center"/>
              <w:rPr>
                <w:rFonts w:hint="eastAsia" w:ascii="仿宋_GB2312" w:hAnsi="宋体" w:eastAsia="仿宋_GB2312" w:cs="仿宋_GB2312"/>
                <w:kern w:val="0"/>
              </w:rPr>
            </w:pP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产生增幅</w:t>
            </w:r>
          </w:p>
        </w:tc>
        <w:tc>
          <w:tcPr>
            <w:tcW w:w="1319" w:type="dxa"/>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增长7.7%</w:t>
            </w:r>
          </w:p>
          <w:p>
            <w:pPr>
              <w:widowControl/>
              <w:snapToGrid w:val="0"/>
              <w:spacing w:line="520" w:lineRule="exact"/>
              <w:jc w:val="center"/>
              <w:rPr>
                <w:rFonts w:ascii="仿宋_GB2312" w:hAnsi="宋体" w:eastAsia="仿宋_GB2312"/>
                <w:kern w:val="0"/>
              </w:rPr>
            </w:pP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提升社会救助保障水平</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执行</w:t>
            </w:r>
            <w:r>
              <w:rPr>
                <w:rFonts w:hint="eastAsia" w:ascii="仿宋_GB2312" w:hAnsi="宋体" w:eastAsia="仿宋_GB2312" w:cs="仿宋_GB2312"/>
                <w:kern w:val="0"/>
              </w:rPr>
              <w:t>新一轮调标标准社会散居孤儿月人均保障标准</w:t>
            </w: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产生增幅</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增长1.6%</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数量指标</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提升社会救助保障水平</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执行</w:t>
            </w:r>
            <w:r>
              <w:rPr>
                <w:rFonts w:hint="eastAsia" w:ascii="仿宋_GB2312" w:hAnsi="宋体" w:eastAsia="仿宋_GB2312" w:cs="仿宋_GB2312"/>
                <w:kern w:val="0"/>
              </w:rPr>
              <w:t>新一轮调标标准福利机构集中供养孤儿年人均保障标准</w:t>
            </w:r>
          </w:p>
        </w:tc>
        <w:tc>
          <w:tcPr>
            <w:tcW w:w="1466" w:type="dxa"/>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产生增幅</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增长1.6%</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hint="eastAsia" w:ascii="仿宋_GB2312" w:hAnsi="宋体" w:eastAsia="仿宋_GB2312" w:cs="仿宋_GB2312"/>
                <w:kern w:val="0"/>
                <w:sz w:val="20"/>
                <w:szCs w:val="22"/>
              </w:rPr>
            </w:pPr>
          </w:p>
        </w:tc>
        <w:tc>
          <w:tcPr>
            <w:tcW w:w="1879" w:type="dxa"/>
            <w:gridSpan w:val="2"/>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数量指</w:t>
            </w:r>
            <w:r>
              <w:rPr>
                <w:rFonts w:hint="eastAsia" w:ascii="仿宋_GB2312" w:hAnsi="宋体" w:eastAsia="仿宋_GB2312" w:cs="仿宋_GB2312"/>
                <w:kern w:val="0"/>
                <w:lang w:val="en-US" w:eastAsia="zh-CN"/>
              </w:rPr>
              <w:t>标-深入开展社区治理实验区建设工作</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试点社区搭建社区综合信息服务平台</w:t>
            </w:r>
          </w:p>
        </w:tc>
        <w:tc>
          <w:tcPr>
            <w:tcW w:w="1466"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8个</w:t>
            </w:r>
          </w:p>
        </w:tc>
        <w:tc>
          <w:tcPr>
            <w:tcW w:w="1319"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8个</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质量</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大幅提升社会救助水平</w:t>
            </w:r>
          </w:p>
        </w:tc>
        <w:tc>
          <w:tcPr>
            <w:tcW w:w="1466"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时效</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cs="仿宋_GB2312"/>
                <w:kern w:val="0"/>
                <w:lang w:val="en-US" w:eastAsia="zh-CN"/>
              </w:rPr>
              <w:t>预算年度内</w:t>
            </w:r>
          </w:p>
        </w:tc>
        <w:tc>
          <w:tcPr>
            <w:tcW w:w="1466"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2020年度内完成</w:t>
            </w:r>
          </w:p>
        </w:tc>
        <w:tc>
          <w:tcPr>
            <w:tcW w:w="1319"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成本</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cs="仿宋_GB2312"/>
                <w:kern w:val="0"/>
                <w:lang w:val="en-US" w:eastAsia="zh-CN"/>
              </w:rPr>
              <w:t>预算执行率</w:t>
            </w:r>
          </w:p>
        </w:tc>
        <w:tc>
          <w:tcPr>
            <w:tcW w:w="1466"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不低于90%</w:t>
            </w:r>
          </w:p>
        </w:tc>
        <w:tc>
          <w:tcPr>
            <w:tcW w:w="1319"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restart"/>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效益</w:t>
            </w:r>
          </w:p>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指标</w:t>
            </w:r>
          </w:p>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sz w:val="20"/>
                <w:szCs w:val="22"/>
              </w:rPr>
              <w:t>（</w:t>
            </w:r>
            <w:r>
              <w:rPr>
                <w:rFonts w:hint="eastAsia" w:ascii="仿宋_GB2312" w:hAnsi="宋体" w:eastAsia="仿宋_GB2312" w:cs="仿宋_GB2312"/>
                <w:kern w:val="0"/>
                <w:sz w:val="20"/>
                <w:szCs w:val="22"/>
                <w:lang w:val="en-US" w:eastAsia="zh-CN"/>
              </w:rPr>
              <w:t>40</w:t>
            </w:r>
            <w:r>
              <w:rPr>
                <w:rFonts w:hint="eastAsia" w:ascii="仿宋_GB2312" w:hAnsi="宋体" w:eastAsia="仿宋_GB2312" w:cs="仿宋_GB2312"/>
                <w:kern w:val="0"/>
                <w:sz w:val="20"/>
                <w:szCs w:val="22"/>
              </w:rPr>
              <w:t>分）</w:t>
            </w: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rPr>
              <w:t>经济效益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完善城市环境，增强城市核心竞争力</w:t>
            </w:r>
            <w:r>
              <w:rPr>
                <w:rFonts w:hint="eastAsia" w:ascii="仿宋_GB2312" w:hAnsi="宋体" w:eastAsia="仿宋_GB2312" w:cs="仿宋_GB2312"/>
                <w:kern w:val="0"/>
              </w:rPr>
              <w:tab/>
            </w:r>
          </w:p>
        </w:tc>
        <w:tc>
          <w:tcPr>
            <w:tcW w:w="1466"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pStyle w:val="2"/>
              <w:spacing w:line="540" w:lineRule="exact"/>
              <w:jc w:val="center"/>
              <w:rPr>
                <w:rFonts w:ascii="仿宋_GB2312" w:hAnsi="宋体" w:eastAsia="仿宋_GB2312"/>
                <w:kern w:val="0"/>
              </w:rPr>
            </w:pPr>
            <w:r>
              <w:rPr>
                <w:rFonts w:hint="eastAsia" w:ascii="仿宋_GB2312" w:hAnsi="宋体" w:eastAsia="仿宋_GB2312" w:cs="Times New Roman"/>
                <w:kern w:val="0"/>
                <w:sz w:val="21"/>
                <w:szCs w:val="24"/>
                <w:lang w:val="en-US" w:eastAsia="zh-CN" w:bidi="ar-SA"/>
              </w:rPr>
              <w:t>全面落实兜底脱贫行动</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Times New Roman"/>
                <w:kern w:val="0"/>
              </w:rPr>
            </w:pPr>
            <w:r>
              <w:rPr>
                <w:rFonts w:hint="eastAsia" w:ascii="仿宋_GB2312" w:hAnsi="宋体" w:eastAsia="仿宋_GB2312" w:cs="Times New Roman"/>
                <w:kern w:val="0"/>
              </w:rPr>
              <w:t>社会效益指标</w:t>
            </w:r>
          </w:p>
        </w:tc>
        <w:tc>
          <w:tcPr>
            <w:tcW w:w="1879" w:type="dxa"/>
            <w:gridSpan w:val="3"/>
            <w:noWrap w:val="0"/>
            <w:vAlign w:val="center"/>
          </w:tcPr>
          <w:p>
            <w:pPr>
              <w:widowControl/>
              <w:snapToGrid w:val="0"/>
              <w:spacing w:line="520" w:lineRule="exact"/>
              <w:jc w:val="center"/>
              <w:rPr>
                <w:rFonts w:hint="eastAsia" w:ascii="仿宋_GB2312" w:hAnsi="宋体" w:eastAsia="仿宋_GB2312" w:cs="Times New Roman"/>
                <w:kern w:val="0"/>
                <w:lang w:eastAsia="zh-CN"/>
              </w:rPr>
            </w:pPr>
            <w:r>
              <w:rPr>
                <w:rFonts w:hint="eastAsia" w:ascii="仿宋_GB2312" w:hAnsi="宋体" w:eastAsia="仿宋_GB2312" w:cs="Times New Roman"/>
                <w:kern w:val="0"/>
              </w:rPr>
              <w:t>大幅提升社会救助保障水平</w:t>
            </w:r>
            <w:r>
              <w:rPr>
                <w:rFonts w:hint="eastAsia" w:ascii="仿宋_GB2312" w:hAnsi="宋体" w:eastAsia="仿宋_GB2312" w:cs="Times New Roman"/>
                <w:kern w:val="0"/>
                <w:lang w:eastAsia="zh-CN"/>
              </w:rPr>
              <w:t>，</w:t>
            </w:r>
            <w:r>
              <w:rPr>
                <w:rFonts w:hint="eastAsia" w:ascii="仿宋_GB2312" w:hAnsi="宋体" w:eastAsia="仿宋_GB2312" w:cs="Times New Roman"/>
                <w:kern w:val="0"/>
              </w:rPr>
              <w:t>进一步完善保障机制</w:t>
            </w:r>
          </w:p>
        </w:tc>
        <w:tc>
          <w:tcPr>
            <w:tcW w:w="1466" w:type="dxa"/>
            <w:noWrap w:val="0"/>
            <w:vAlign w:val="center"/>
          </w:tcPr>
          <w:p>
            <w:pPr>
              <w:widowControl/>
              <w:snapToGrid w:val="0"/>
              <w:spacing w:line="520" w:lineRule="exact"/>
              <w:jc w:val="center"/>
              <w:rPr>
                <w:rFonts w:hint="eastAsia" w:ascii="仿宋_GB2312" w:hAnsi="宋体" w:eastAsia="仿宋_GB2312" w:cs="Times New Roman"/>
                <w:kern w:val="0"/>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cs="Times New Roman"/>
                <w:kern w:val="0"/>
              </w:rPr>
            </w:pPr>
            <w:r>
              <w:rPr>
                <w:rFonts w:hint="eastAsia" w:ascii="仿宋_GB2312" w:hAnsi="宋体" w:eastAsia="仿宋_GB2312" w:cs="Times New Roman"/>
                <w:kern w:val="0"/>
              </w:rPr>
              <w:t>社会效益指标</w:t>
            </w:r>
          </w:p>
        </w:tc>
        <w:tc>
          <w:tcPr>
            <w:tcW w:w="1879" w:type="dxa"/>
            <w:gridSpan w:val="3"/>
            <w:noWrap w:val="0"/>
            <w:vAlign w:val="center"/>
          </w:tcPr>
          <w:p>
            <w:pPr>
              <w:widowControl/>
              <w:snapToGrid w:val="0"/>
              <w:spacing w:line="520" w:lineRule="exact"/>
              <w:jc w:val="center"/>
              <w:rPr>
                <w:rFonts w:hint="eastAsia" w:ascii="仿宋_GB2312" w:hAnsi="宋体" w:eastAsia="仿宋_GB2312" w:cs="Times New Roman"/>
                <w:kern w:val="0"/>
              </w:rPr>
            </w:pPr>
            <w:r>
              <w:rPr>
                <w:rFonts w:hint="eastAsia" w:ascii="仿宋_GB2312" w:hAnsi="宋体" w:eastAsia="仿宋_GB2312" w:cs="Times New Roman"/>
                <w:kern w:val="0"/>
              </w:rPr>
              <w:t>基层社会治理水平不断提升</w:t>
            </w:r>
          </w:p>
        </w:tc>
        <w:tc>
          <w:tcPr>
            <w:tcW w:w="1466" w:type="dxa"/>
            <w:noWrap w:val="0"/>
            <w:vAlign w:val="center"/>
          </w:tcPr>
          <w:p>
            <w:pPr>
              <w:widowControl/>
              <w:snapToGrid w:val="0"/>
              <w:spacing w:line="520" w:lineRule="exact"/>
              <w:jc w:val="center"/>
              <w:rPr>
                <w:rFonts w:hint="eastAsia" w:ascii="仿宋_GB2312" w:hAnsi="宋体" w:eastAsia="仿宋_GB2312" w:cs="Times New Roman"/>
                <w:kern w:val="0"/>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240" w:lineRule="exact"/>
              <w:jc w:val="center"/>
              <w:rPr>
                <w:rFonts w:hint="eastAsia" w:ascii="仿宋_GB2312" w:hAnsi="宋体" w:eastAsia="仿宋_GB2312" w:cs="仿宋_GB2312"/>
                <w:kern w:val="0"/>
              </w:rPr>
            </w:pPr>
            <w:r>
              <w:rPr>
                <w:rFonts w:hint="eastAsia" w:ascii="仿宋_GB2312" w:hAnsi="宋体" w:eastAsia="仿宋_GB2312" w:cs="仿宋_GB2312"/>
                <w:kern w:val="0"/>
              </w:rPr>
              <w:t>社会</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养老服务体系建设</w:t>
            </w:r>
            <w:r>
              <w:rPr>
                <w:rFonts w:hint="eastAsia" w:ascii="仿宋_GB2312" w:hAnsi="宋体" w:eastAsia="仿宋_GB2312" w:cs="Times New Roman"/>
                <w:kern w:val="0"/>
                <w:lang w:val="en-US" w:eastAsia="zh-CN"/>
              </w:rPr>
              <w:t>推进</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default" w:ascii="仿宋_GB2312" w:hAnsi="宋体" w:eastAsia="仿宋_GB2312"/>
                <w:kern w:val="0"/>
                <w:lang w:val="en-US"/>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520" w:lineRule="exact"/>
              <w:jc w:val="center"/>
              <w:rPr>
                <w:rFonts w:hint="eastAsia" w:ascii="仿宋_GB2312" w:hAnsi="宋体" w:eastAsia="仿宋_GB2312"/>
                <w:kern w:val="0"/>
                <w:sz w:val="21"/>
                <w:szCs w:val="24"/>
                <w:lang w:val="en-US" w:eastAsia="zh-CN" w:bidi="ar-SA"/>
              </w:rPr>
            </w:pPr>
            <w:r>
              <w:rPr>
                <w:rFonts w:hint="eastAsia" w:ascii="仿宋_GB2312" w:hAnsi="宋体" w:eastAsia="仿宋_GB2312" w:cs="仿宋_GB2312"/>
                <w:kern w:val="0"/>
              </w:rPr>
              <w:t>生态</w:t>
            </w:r>
            <w:r>
              <w:rPr>
                <w:rFonts w:hint="eastAsia" w:ascii="仿宋_GB2312" w:hAnsi="宋体" w:eastAsia="仿宋_GB2312"/>
                <w:kern w:val="0"/>
              </w:rPr>
              <w:t>效益</w:t>
            </w:r>
            <w:r>
              <w:rPr>
                <w:rFonts w:hint="eastAsia" w:ascii="仿宋_GB2312" w:hAnsi="宋体" w:eastAsia="仿宋_GB2312" w:cs="仿宋_GB2312"/>
                <w:kern w:val="0"/>
              </w:rPr>
              <w:t>指标</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坚持以绿色发展为引领，着力加强生态文明建设</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2" w:type="dxa"/>
            <w:vMerge w:val="continue"/>
            <w:noWrap w:val="0"/>
            <w:vAlign w:val="center"/>
          </w:tcPr>
          <w:p>
            <w:pPr>
              <w:widowControl/>
              <w:snapToGrid w:val="0"/>
              <w:spacing w:line="520" w:lineRule="exact"/>
              <w:jc w:val="center"/>
              <w:rPr>
                <w:rFonts w:ascii="仿宋_GB2312" w:hAnsi="宋体" w:eastAsia="仿宋_GB2312"/>
                <w:kern w:val="0"/>
              </w:rPr>
            </w:pPr>
          </w:p>
        </w:tc>
        <w:tc>
          <w:tcPr>
            <w:tcW w:w="976" w:type="dxa"/>
            <w:vMerge w:val="continue"/>
            <w:noWrap w:val="0"/>
            <w:vAlign w:val="center"/>
          </w:tcPr>
          <w:p>
            <w:pPr>
              <w:widowControl/>
              <w:snapToGrid w:val="0"/>
              <w:spacing w:line="520" w:lineRule="exact"/>
              <w:jc w:val="center"/>
              <w:rPr>
                <w:rFonts w:ascii="仿宋_GB2312" w:hAnsi="宋体" w:eastAsia="仿宋_GB2312"/>
                <w:kern w:val="0"/>
              </w:rPr>
            </w:pPr>
          </w:p>
        </w:tc>
        <w:tc>
          <w:tcPr>
            <w:tcW w:w="1879" w:type="dxa"/>
            <w:gridSpan w:val="2"/>
            <w:noWrap w:val="0"/>
            <w:vAlign w:val="center"/>
          </w:tcPr>
          <w:p>
            <w:pPr>
              <w:widowControl/>
              <w:snapToGrid w:val="0"/>
              <w:spacing w:line="240" w:lineRule="exact"/>
              <w:jc w:val="center"/>
              <w:rPr>
                <w:rFonts w:hint="eastAsia" w:ascii="仿宋_GB2312" w:hAnsi="宋体" w:eastAsia="仿宋_GB2312"/>
                <w:kern w:val="0"/>
                <w:sz w:val="21"/>
                <w:szCs w:val="24"/>
                <w:lang w:val="en-US" w:eastAsia="zh-CN" w:bidi="ar-SA"/>
              </w:rPr>
            </w:pPr>
            <w:r>
              <w:rPr>
                <w:rFonts w:hint="eastAsia" w:ascii="仿宋_GB2312" w:hAnsi="宋体" w:eastAsia="仿宋_GB2312" w:cs="仿宋_GB2312"/>
                <w:kern w:val="0"/>
              </w:rPr>
              <w:t>可持续影响指标</w:t>
            </w:r>
          </w:p>
        </w:tc>
        <w:tc>
          <w:tcPr>
            <w:tcW w:w="1879" w:type="dxa"/>
            <w:gridSpan w:val="3"/>
            <w:noWrap w:val="0"/>
            <w:vAlign w:val="center"/>
          </w:tcPr>
          <w:p>
            <w:pPr>
              <w:widowControl/>
              <w:snapToGrid w:val="0"/>
              <w:spacing w:line="520" w:lineRule="exact"/>
              <w:jc w:val="center"/>
              <w:rPr>
                <w:rFonts w:hint="eastAsia" w:ascii="仿宋_GB2312" w:hAnsi="宋体" w:eastAsia="仿宋_GB2312" w:cs="仿宋_GB2312"/>
                <w:kern w:val="0"/>
              </w:rPr>
            </w:pPr>
            <w:r>
              <w:rPr>
                <w:rFonts w:hint="eastAsia" w:ascii="仿宋_GB2312" w:hAnsi="宋体" w:eastAsia="仿宋_GB2312" w:cs="仿宋_GB2312"/>
                <w:kern w:val="0"/>
              </w:rPr>
              <w:t>城市综合载体功能增强</w:t>
            </w:r>
          </w:p>
        </w:tc>
        <w:tc>
          <w:tcPr>
            <w:tcW w:w="1466"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效果显著</w:t>
            </w:r>
          </w:p>
        </w:tc>
        <w:tc>
          <w:tcPr>
            <w:tcW w:w="1319"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kern w:val="0"/>
                <w:lang w:val="en-US" w:eastAsia="zh-CN"/>
              </w:rPr>
              <w:t>完成</w:t>
            </w:r>
          </w:p>
        </w:tc>
        <w:tc>
          <w:tcPr>
            <w:tcW w:w="877" w:type="dxa"/>
            <w:noWrap w:val="0"/>
            <w:vAlign w:val="center"/>
          </w:tcPr>
          <w:p>
            <w:pPr>
              <w:widowControl/>
              <w:snapToGrid w:val="0"/>
              <w:spacing w:line="520" w:lineRule="exact"/>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52" w:type="dxa"/>
            <w:noWrap w:val="0"/>
            <w:vAlign w:val="center"/>
          </w:tcPr>
          <w:p>
            <w:pPr>
              <w:widowControl/>
              <w:snapToGrid w:val="0"/>
              <w:spacing w:line="520" w:lineRule="exact"/>
              <w:jc w:val="center"/>
              <w:rPr>
                <w:rFonts w:ascii="仿宋_GB2312" w:hAnsi="宋体" w:eastAsia="仿宋_GB2312"/>
                <w:kern w:val="0"/>
              </w:rPr>
            </w:pPr>
            <w:r>
              <w:rPr>
                <w:rFonts w:hint="eastAsia" w:ascii="仿宋_GB2312" w:hAnsi="宋体" w:eastAsia="仿宋_GB2312" w:cs="仿宋_GB2312"/>
                <w:kern w:val="0"/>
              </w:rPr>
              <w:t>总分</w:t>
            </w:r>
          </w:p>
        </w:tc>
        <w:tc>
          <w:tcPr>
            <w:tcW w:w="8396" w:type="dxa"/>
            <w:gridSpan w:val="9"/>
            <w:noWrap w:val="0"/>
            <w:vAlign w:val="center"/>
          </w:tcPr>
          <w:p>
            <w:pPr>
              <w:widowControl/>
              <w:snapToGrid w:val="0"/>
              <w:spacing w:line="520" w:lineRule="exact"/>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noWrap w:val="0"/>
            <w:vAlign w:val="center"/>
          </w:tcPr>
          <w:p>
            <w:pPr>
              <w:widowControl/>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noWrap w:val="0"/>
            <w:vAlign w:val="center"/>
          </w:tcPr>
          <w:p>
            <w:pPr>
              <w:widowControl/>
              <w:jc w:val="left"/>
              <w:rPr>
                <w:rFonts w:ascii="仿宋_GB2312" w:hAnsi="宋体" w:eastAsia="仿宋_GB2312"/>
                <w:kern w:val="0"/>
              </w:rPr>
            </w:pPr>
          </w:p>
        </w:tc>
      </w:tr>
    </w:tbl>
    <w:p>
      <w:pPr>
        <w:pStyle w:val="5"/>
        <w:spacing w:line="480" w:lineRule="exact"/>
        <w:rPr>
          <w:rFonts w:hint="eastAsia" w:ascii="仿宋_GB2312" w:hAnsi="仿宋_GB2312" w:eastAsia="仿宋_GB2312" w:cs="仿宋_GB2312"/>
          <w:b/>
          <w:bCs/>
          <w:color w:val="333333"/>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65552"/>
    <w:rsid w:val="26200E51"/>
    <w:rsid w:val="4C1A27F2"/>
    <w:rsid w:val="6536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仿宋_GB2312" w:cs="Courier New"/>
      <w:szCs w:val="21"/>
    </w:rPr>
  </w:style>
  <w:style w:type="paragraph" w:customStyle="1" w:styleId="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2021-09-17T02:01:00Z</dcterms:created>
  <dc:creator>holll</dc:creator>
  <cp:lastModifiedBy>郝</cp:lastModifiedBy>
  <dcterms:modified xsi:type="dcterms:W3CDTF">2021-09-19T12:43:51Z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E2B21BFB4A4A4D338E0F3C7224FBBF61</vt:lpwstr>
  </property>
</Properties>
</file>