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27"/>
          <w:szCs w:val="27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7"/>
          <w:szCs w:val="27"/>
        </w:rPr>
        <w:t>《2020年度</w:t>
      </w:r>
      <w:r>
        <w:rPr>
          <w:rFonts w:hint="eastAsia" w:ascii="仿宋_GB2312" w:hAnsi="仿宋_GB2312" w:eastAsia="仿宋_GB2312" w:cs="仿宋_GB2312"/>
          <w:color w:val="333333"/>
          <w:kern w:val="0"/>
          <w:sz w:val="27"/>
          <w:szCs w:val="27"/>
          <w:lang w:eastAsia="zh-CN"/>
        </w:rPr>
        <w:t>咸宁智慧养老服务平台建设运营项目</w:t>
      </w:r>
      <w:r>
        <w:rPr>
          <w:rFonts w:hint="eastAsia" w:ascii="仿宋_GB2312" w:hAnsi="仿宋_GB2312" w:eastAsia="仿宋_GB2312" w:cs="仿宋_GB2312"/>
          <w:color w:val="333333"/>
          <w:kern w:val="0"/>
          <w:sz w:val="27"/>
          <w:szCs w:val="27"/>
        </w:rPr>
        <w:t>自评结果》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27"/>
          <w:szCs w:val="27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7"/>
          <w:szCs w:val="27"/>
        </w:rPr>
        <w:t>摘要版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27"/>
          <w:szCs w:val="27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7"/>
          <w:szCs w:val="27"/>
          <w:lang w:eastAsia="zh-CN"/>
        </w:rPr>
        <w:t>咸宁智慧养老服务平台建设运营项目</w:t>
      </w:r>
      <w:r>
        <w:rPr>
          <w:rFonts w:hint="eastAsia" w:ascii="仿宋_GB2312" w:hAnsi="仿宋_GB2312" w:eastAsia="仿宋_GB2312" w:cs="仿宋_GB2312"/>
          <w:color w:val="333333"/>
          <w:kern w:val="0"/>
          <w:sz w:val="27"/>
          <w:szCs w:val="27"/>
        </w:rPr>
        <w:t>绩效自评结果：2020年度</w:t>
      </w:r>
      <w:r>
        <w:rPr>
          <w:rFonts w:hint="eastAsia" w:ascii="仿宋_GB2312" w:hAnsi="仿宋_GB2312" w:eastAsia="仿宋_GB2312" w:cs="仿宋_GB2312"/>
          <w:color w:val="333333"/>
          <w:kern w:val="0"/>
          <w:sz w:val="27"/>
          <w:szCs w:val="27"/>
          <w:lang w:eastAsia="zh-CN"/>
        </w:rPr>
        <w:t>咸宁市民政局咸宁智慧养老服务平台建设运营项目</w:t>
      </w:r>
      <w:r>
        <w:rPr>
          <w:rFonts w:hint="eastAsia" w:ascii="仿宋_GB2312" w:hAnsi="仿宋_GB2312" w:eastAsia="仿宋_GB2312" w:cs="仿宋_GB2312"/>
          <w:color w:val="333333"/>
          <w:kern w:val="0"/>
          <w:sz w:val="27"/>
          <w:szCs w:val="27"/>
        </w:rPr>
        <w:t>绩效自评得分为</w:t>
      </w:r>
      <w:r>
        <w:rPr>
          <w:rFonts w:hint="eastAsia" w:ascii="仿宋_GB2312" w:hAnsi="仿宋_GB2312" w:eastAsia="仿宋_GB2312" w:cs="仿宋_GB2312"/>
          <w:color w:val="333333"/>
          <w:kern w:val="0"/>
          <w:sz w:val="27"/>
          <w:szCs w:val="27"/>
          <w:lang w:val="en-US" w:eastAsia="zh-CN"/>
        </w:rPr>
        <w:t>99.66</w:t>
      </w:r>
      <w:r>
        <w:rPr>
          <w:rFonts w:hint="eastAsia" w:ascii="仿宋_GB2312" w:hAnsi="仿宋_GB2312" w:eastAsia="仿宋_GB2312" w:cs="仿宋_GB2312"/>
          <w:color w:val="333333"/>
          <w:kern w:val="0"/>
          <w:sz w:val="27"/>
          <w:szCs w:val="27"/>
        </w:rPr>
        <w:t>分，其中：预算执行情况得分</w:t>
      </w:r>
      <w:r>
        <w:rPr>
          <w:rFonts w:hint="eastAsia" w:ascii="仿宋_GB2312" w:hAnsi="仿宋_GB2312" w:eastAsia="仿宋_GB2312" w:cs="仿宋_GB2312"/>
          <w:color w:val="333333"/>
          <w:kern w:val="0"/>
          <w:sz w:val="27"/>
          <w:szCs w:val="27"/>
          <w:lang w:val="en-US" w:eastAsia="zh-CN"/>
        </w:rPr>
        <w:t>19.66</w:t>
      </w:r>
      <w:r>
        <w:rPr>
          <w:rFonts w:hint="eastAsia" w:ascii="仿宋_GB2312" w:hAnsi="仿宋_GB2312" w:eastAsia="仿宋_GB2312" w:cs="仿宋_GB2312"/>
          <w:color w:val="333333"/>
          <w:kern w:val="0"/>
          <w:sz w:val="27"/>
          <w:szCs w:val="27"/>
        </w:rPr>
        <w:t>分，产出指标得分</w:t>
      </w:r>
      <w:r>
        <w:rPr>
          <w:rFonts w:hint="eastAsia" w:ascii="仿宋_GB2312" w:hAnsi="仿宋_GB2312" w:eastAsia="仿宋_GB2312" w:cs="仿宋_GB2312"/>
          <w:color w:val="333333"/>
          <w:kern w:val="0"/>
          <w:sz w:val="27"/>
          <w:szCs w:val="27"/>
          <w:lang w:val="en-US" w:eastAsia="zh-CN"/>
        </w:rPr>
        <w:t>40.00</w:t>
      </w:r>
      <w:r>
        <w:rPr>
          <w:rFonts w:hint="eastAsia" w:ascii="仿宋_GB2312" w:hAnsi="仿宋_GB2312" w:eastAsia="仿宋_GB2312" w:cs="仿宋_GB2312"/>
          <w:color w:val="333333"/>
          <w:kern w:val="0"/>
          <w:sz w:val="27"/>
          <w:szCs w:val="27"/>
        </w:rPr>
        <w:t>分，效益指标得分</w:t>
      </w:r>
      <w:r>
        <w:rPr>
          <w:rFonts w:hint="eastAsia" w:ascii="仿宋_GB2312" w:hAnsi="仿宋_GB2312" w:eastAsia="仿宋_GB2312" w:cs="仿宋_GB2312"/>
          <w:color w:val="333333"/>
          <w:kern w:val="0"/>
          <w:sz w:val="27"/>
          <w:szCs w:val="27"/>
          <w:lang w:val="en-US" w:eastAsia="zh-CN"/>
        </w:rPr>
        <w:t>40.00</w:t>
      </w:r>
      <w:r>
        <w:rPr>
          <w:rFonts w:hint="eastAsia" w:ascii="仿宋_GB2312" w:hAnsi="仿宋_GB2312" w:eastAsia="仿宋_GB2312" w:cs="仿宋_GB2312"/>
          <w:color w:val="333333"/>
          <w:kern w:val="0"/>
          <w:sz w:val="27"/>
          <w:szCs w:val="27"/>
        </w:rPr>
        <w:t>分。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 w:ascii="仿宋_GB2312" w:hAnsi="仿宋_GB2312" w:eastAsia="仿宋_GB2312" w:cs="仿宋_GB2312"/>
          <w:color w:val="333333"/>
          <w:kern w:val="0"/>
          <w:sz w:val="27"/>
          <w:szCs w:val="27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color w:val="333333"/>
          <w:kern w:val="0"/>
          <w:sz w:val="27"/>
          <w:szCs w:val="27"/>
          <w:lang w:eastAsia="zh-CN"/>
        </w:rPr>
        <w:t>咸宁智慧养老服务平台建设运营项目</w:t>
      </w:r>
      <w:r>
        <w:rPr>
          <w:rFonts w:hint="eastAsia" w:ascii="仿宋_GB2312" w:hAnsi="仿宋_GB2312" w:eastAsia="仿宋_GB2312" w:cs="仿宋_GB2312"/>
          <w:color w:val="333333"/>
          <w:kern w:val="0"/>
          <w:sz w:val="27"/>
          <w:szCs w:val="27"/>
        </w:rPr>
        <w:t>绩效自评综述：项目全年预算数为</w:t>
      </w:r>
      <w:r>
        <w:rPr>
          <w:rFonts w:hint="eastAsia" w:ascii="仿宋_GB2312" w:hAnsi="仿宋_GB2312" w:eastAsia="仿宋_GB2312" w:cs="仿宋_GB2312"/>
          <w:color w:val="333333"/>
          <w:kern w:val="0"/>
          <w:sz w:val="27"/>
          <w:szCs w:val="27"/>
          <w:lang w:val="en-US" w:eastAsia="zh-CN"/>
        </w:rPr>
        <w:t>100.00</w:t>
      </w:r>
      <w:r>
        <w:rPr>
          <w:rFonts w:hint="eastAsia" w:ascii="仿宋_GB2312" w:hAnsi="仿宋_GB2312" w:eastAsia="仿宋_GB2312" w:cs="仿宋_GB2312"/>
          <w:color w:val="333333"/>
          <w:kern w:val="0"/>
          <w:sz w:val="27"/>
          <w:szCs w:val="27"/>
        </w:rPr>
        <w:t>万元，执行数为</w:t>
      </w:r>
      <w:r>
        <w:rPr>
          <w:rFonts w:hint="eastAsia" w:ascii="仿宋_GB2312" w:hAnsi="仿宋_GB2312" w:eastAsia="仿宋_GB2312" w:cs="仿宋_GB2312"/>
          <w:color w:val="333333"/>
          <w:kern w:val="0"/>
          <w:sz w:val="27"/>
          <w:szCs w:val="27"/>
          <w:lang w:val="en-US" w:eastAsia="zh-CN"/>
        </w:rPr>
        <w:t>98.29</w:t>
      </w:r>
      <w:r>
        <w:rPr>
          <w:rFonts w:hint="eastAsia" w:ascii="仿宋_GB2312" w:hAnsi="仿宋_GB2312" w:eastAsia="仿宋_GB2312" w:cs="仿宋_GB2312"/>
          <w:color w:val="333333"/>
          <w:kern w:val="0"/>
          <w:sz w:val="27"/>
          <w:szCs w:val="27"/>
        </w:rPr>
        <w:t>万元，完成预算</w:t>
      </w:r>
      <w:r>
        <w:rPr>
          <w:rFonts w:hint="eastAsia" w:ascii="仿宋_GB2312" w:hAnsi="仿宋_GB2312" w:eastAsia="仿宋_GB2312" w:cs="仿宋_GB2312"/>
          <w:color w:val="333333"/>
          <w:kern w:val="0"/>
          <w:sz w:val="27"/>
          <w:szCs w:val="27"/>
          <w:lang w:val="en-US" w:eastAsia="zh-CN"/>
        </w:rPr>
        <w:t>98.29</w:t>
      </w:r>
      <w:r>
        <w:rPr>
          <w:rFonts w:hint="eastAsia" w:ascii="仿宋_GB2312" w:hAnsi="仿宋_GB2312" w:eastAsia="仿宋_GB2312" w:cs="仿宋_GB2312"/>
          <w:color w:val="333333"/>
          <w:kern w:val="0"/>
          <w:sz w:val="27"/>
          <w:szCs w:val="27"/>
        </w:rPr>
        <w:t>％。主要产出和效益：一是</w:t>
      </w:r>
      <w:r>
        <w:rPr>
          <w:rFonts w:hint="eastAsia" w:ascii="仿宋_GB2312" w:hAnsi="仿宋_GB2312" w:eastAsia="仿宋_GB2312" w:cs="仿宋_GB2312"/>
          <w:color w:val="333333"/>
          <w:kern w:val="0"/>
          <w:sz w:val="27"/>
          <w:szCs w:val="27"/>
          <w:lang w:val="en-US" w:eastAsia="zh-CN"/>
        </w:rPr>
        <w:t>通过项目的实施能够促进第三产业发展，促进就业</w:t>
      </w:r>
      <w:r>
        <w:rPr>
          <w:rFonts w:hint="eastAsia" w:ascii="仿宋_GB2312" w:hAnsi="仿宋_GB2312" w:eastAsia="仿宋_GB2312" w:cs="仿宋_GB2312"/>
          <w:color w:val="333333"/>
          <w:kern w:val="0"/>
          <w:sz w:val="27"/>
          <w:szCs w:val="27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333333"/>
          <w:kern w:val="0"/>
          <w:sz w:val="27"/>
          <w:szCs w:val="27"/>
        </w:rPr>
        <w:t>二是</w:t>
      </w:r>
      <w:r>
        <w:rPr>
          <w:rFonts w:hint="eastAsia" w:ascii="仿宋_GB2312" w:hAnsi="仿宋_GB2312" w:eastAsia="仿宋_GB2312" w:cs="仿宋_GB2312"/>
          <w:color w:val="333333"/>
          <w:kern w:val="0"/>
          <w:sz w:val="27"/>
          <w:szCs w:val="27"/>
          <w:lang w:val="en-US" w:eastAsia="zh-CN"/>
        </w:rPr>
        <w:t>搭建县市区智慧养老分平台和社区智慧养老中心，实现各平台之间互联互通；三是为居家养老工作提供强有力的技术保障，同时为其他社区综合养老服务中心提供技术服务支持。</w:t>
      </w:r>
    </w:p>
    <w:bookmarkEnd w:id="0"/>
    <w:p>
      <w:pPr>
        <w:rPr>
          <w:rFonts w:hint="eastAsia" w:ascii="仿宋_GB2312" w:hAnsi="仿宋_GB2312" w:eastAsia="仿宋_GB2312" w:cs="仿宋_GB2312"/>
          <w:color w:val="333333"/>
          <w:kern w:val="0"/>
          <w:sz w:val="27"/>
          <w:szCs w:val="27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7"/>
          <w:szCs w:val="27"/>
        </w:rPr>
        <w:br w:type="page"/>
      </w:r>
    </w:p>
    <w:p>
      <w:pPr>
        <w:jc w:val="center"/>
      </w:pPr>
      <w:r>
        <w:rPr>
          <w:rFonts w:hint="eastAsia" w:ascii="仿宋_GB2312" w:hAnsi="仿宋_GB2312" w:eastAsia="仿宋_GB2312" w:cs="仿宋_GB2312"/>
          <w:color w:val="333333"/>
          <w:kern w:val="0"/>
          <w:sz w:val="27"/>
          <w:szCs w:val="27"/>
        </w:rPr>
        <w:t>《2020年度</w:t>
      </w:r>
      <w:r>
        <w:rPr>
          <w:rFonts w:hint="eastAsia" w:ascii="仿宋_GB2312" w:hAnsi="仿宋_GB2312" w:eastAsia="仿宋_GB2312" w:cs="仿宋_GB2312"/>
          <w:color w:val="333333"/>
          <w:kern w:val="0"/>
          <w:sz w:val="27"/>
          <w:szCs w:val="27"/>
          <w:lang w:eastAsia="zh-CN"/>
        </w:rPr>
        <w:t>咸宁智慧养老服务平台建设运营项目</w:t>
      </w:r>
      <w:r>
        <w:rPr>
          <w:rFonts w:hint="eastAsia" w:ascii="仿宋_GB2312" w:hAnsi="仿宋_GB2312" w:eastAsia="仿宋_GB2312" w:cs="仿宋_GB2312"/>
          <w:color w:val="333333"/>
          <w:kern w:val="0"/>
          <w:sz w:val="27"/>
          <w:szCs w:val="27"/>
          <w:lang w:val="en-US" w:eastAsia="zh-CN"/>
        </w:rPr>
        <w:t>绩效</w:t>
      </w:r>
      <w:r>
        <w:rPr>
          <w:rFonts w:hint="eastAsia" w:ascii="仿宋_GB2312" w:hAnsi="仿宋_GB2312" w:eastAsia="仿宋_GB2312" w:cs="仿宋_GB2312"/>
          <w:color w:val="333333"/>
          <w:kern w:val="0"/>
          <w:sz w:val="27"/>
          <w:szCs w:val="27"/>
        </w:rPr>
        <w:t>自评表》</w:t>
      </w:r>
    </w:p>
    <w:p>
      <w:pPr>
        <w:widowControl/>
        <w:jc w:val="distribute"/>
        <w:rPr>
          <w:rFonts w:ascii="楷体_GB2312" w:hAnsi="黑体" w:eastAsia="楷体_GB2312"/>
          <w:kern w:val="0"/>
          <w:sz w:val="18"/>
          <w:szCs w:val="18"/>
        </w:rPr>
      </w:pPr>
      <w:r>
        <w:rPr>
          <w:rFonts w:hint="eastAsia" w:ascii="楷体_GB2312" w:hAnsi="仿宋" w:eastAsia="楷体_GB2312" w:cs="楷体_GB2312"/>
          <w:kern w:val="0"/>
          <w:sz w:val="18"/>
          <w:szCs w:val="18"/>
        </w:rPr>
        <w:t>单位名称：</w:t>
      </w:r>
      <w:r>
        <w:rPr>
          <w:rFonts w:hint="eastAsia" w:ascii="楷体_GB2312" w:hAnsi="仿宋" w:eastAsia="楷体_GB2312" w:cs="楷体_GB2312"/>
          <w:kern w:val="0"/>
          <w:sz w:val="18"/>
          <w:szCs w:val="18"/>
          <w:lang w:eastAsia="zh-CN"/>
        </w:rPr>
        <w:t>咸宁市民政局</w:t>
      </w:r>
      <w:r>
        <w:rPr>
          <w:rFonts w:hint="eastAsia" w:ascii="楷体_GB2312" w:hAnsi="仿宋" w:eastAsia="楷体_GB2312" w:cs="楷体_GB2312"/>
          <w:kern w:val="0"/>
          <w:sz w:val="18"/>
          <w:szCs w:val="18"/>
          <w:lang w:val="en-US" w:eastAsia="zh-CN"/>
        </w:rPr>
        <w:t xml:space="preserve">                          </w:t>
      </w:r>
      <w:r>
        <w:rPr>
          <w:rFonts w:hint="eastAsia" w:ascii="楷体_GB2312" w:hAnsi="仿宋" w:eastAsia="楷体_GB2312" w:cs="楷体_GB2312"/>
          <w:kern w:val="0"/>
          <w:sz w:val="18"/>
          <w:szCs w:val="18"/>
        </w:rPr>
        <w:t xml:space="preserve"> 填报日期：2021年03月30日</w:t>
      </w:r>
    </w:p>
    <w:tbl>
      <w:tblPr>
        <w:tblStyle w:val="2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946"/>
        <w:gridCol w:w="1122"/>
        <w:gridCol w:w="757"/>
        <w:gridCol w:w="298"/>
        <w:gridCol w:w="264"/>
        <w:gridCol w:w="1317"/>
        <w:gridCol w:w="1466"/>
        <w:gridCol w:w="1319"/>
        <w:gridCol w:w="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项目名称</w:t>
            </w:r>
          </w:p>
        </w:tc>
        <w:tc>
          <w:tcPr>
            <w:tcW w:w="7420" w:type="dxa"/>
            <w:gridSpan w:val="8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咸宁智慧养老服务平台建设运营项目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主管部门</w:t>
            </w:r>
          </w:p>
        </w:tc>
        <w:tc>
          <w:tcPr>
            <w:tcW w:w="2177" w:type="dxa"/>
            <w:gridSpan w:val="3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left"/>
              <w:rPr>
                <w:rFonts w:hint="default" w:ascii="仿宋_GB2312" w:hAnsi="宋体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lang w:val="en-US" w:eastAsia="zh-CN"/>
              </w:rPr>
              <w:t>咸宁市民政局</w:t>
            </w:r>
          </w:p>
        </w:tc>
        <w:tc>
          <w:tcPr>
            <w:tcW w:w="1581" w:type="dxa"/>
            <w:gridSpan w:val="2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仿宋_GB2312" w:hAnsi="宋体" w:eastAsia="仿宋_GB2312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kern w:val="0"/>
                <w:highlight w:val="none"/>
              </w:rPr>
              <w:t>项目实施单位</w:t>
            </w:r>
          </w:p>
        </w:tc>
        <w:tc>
          <w:tcPr>
            <w:tcW w:w="3662" w:type="dxa"/>
            <w:gridSpan w:val="3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default" w:ascii="仿宋_GB2312" w:hAnsi="宋体" w:eastAsia="仿宋_GB2312" w:cs="仿宋_GB2312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lang w:val="en-US" w:eastAsia="zh-CN"/>
              </w:rPr>
              <w:t>咸宁市民政局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项目类别</w:t>
            </w:r>
          </w:p>
        </w:tc>
        <w:tc>
          <w:tcPr>
            <w:tcW w:w="7420" w:type="dxa"/>
            <w:gridSpan w:val="8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left"/>
              <w:rPr>
                <w:rFonts w:ascii="仿宋_GB2312" w:hAnsi="宋体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、部门预算项目□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、市直专项□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3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、其他项目□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项目类型</w:t>
            </w:r>
          </w:p>
        </w:tc>
        <w:tc>
          <w:tcPr>
            <w:tcW w:w="7420" w:type="dxa"/>
            <w:gridSpan w:val="8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left"/>
              <w:rPr>
                <w:rFonts w:ascii="仿宋_GB2312" w:hAnsi="宋体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、常年性项目□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、延续性项目□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   3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、一次性项目□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restart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预算执行情况（万元）</w:t>
            </w:r>
          </w:p>
          <w:p>
            <w:pPr>
              <w:widowControl/>
              <w:snapToGrid w:val="0"/>
              <w:spacing w:line="520" w:lineRule="exact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（2</w:t>
            </w:r>
            <w:r>
              <w:rPr>
                <w:rFonts w:ascii="仿宋_GB2312" w:hAnsi="宋体" w:eastAsia="仿宋_GB2312" w:cs="仿宋_GB2312"/>
                <w:kern w:val="0"/>
              </w:rPr>
              <w:t>0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分）</w:t>
            </w:r>
          </w:p>
        </w:tc>
        <w:tc>
          <w:tcPr>
            <w:tcW w:w="1122" w:type="dxa"/>
            <w:vMerge w:val="restart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年度财政资金总额</w:t>
            </w:r>
          </w:p>
        </w:tc>
        <w:tc>
          <w:tcPr>
            <w:tcW w:w="1319" w:type="dxa"/>
            <w:gridSpan w:val="3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预算数（</w:t>
            </w:r>
            <w:r>
              <w:rPr>
                <w:rFonts w:ascii="仿宋_GB2312" w:hAnsi="宋体" w:eastAsia="仿宋_GB2312" w:cs="仿宋_GB2312"/>
                <w:kern w:val="0"/>
              </w:rPr>
              <w:t>A）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执行数</w:t>
            </w:r>
            <w:r>
              <w:rPr>
                <w:rFonts w:ascii="仿宋_GB2312" w:hAnsi="宋体" w:eastAsia="仿宋_GB2312" w:cs="仿宋_GB2312"/>
                <w:kern w:val="0"/>
              </w:rPr>
              <w:t>（B）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执行率</w:t>
            </w:r>
            <w:r>
              <w:rPr>
                <w:rFonts w:ascii="仿宋_GB2312" w:hAnsi="宋体" w:eastAsia="仿宋_GB2312" w:cs="仿宋_GB2312"/>
                <w:kern w:val="0"/>
              </w:rPr>
              <w:t>（B/A）</w:t>
            </w:r>
          </w:p>
        </w:tc>
        <w:tc>
          <w:tcPr>
            <w:tcW w:w="2196" w:type="dxa"/>
            <w:gridSpan w:val="2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得分</w:t>
            </w:r>
          </w:p>
          <w:p>
            <w:pPr>
              <w:widowControl/>
              <w:snapToGrid w:val="0"/>
              <w:spacing w:line="520" w:lineRule="exact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（</w:t>
            </w:r>
            <w:r>
              <w:rPr>
                <w:rFonts w:ascii="仿宋_GB2312" w:hAnsi="宋体" w:eastAsia="仿宋_GB2312" w:cs="仿宋_GB2312"/>
                <w:kern w:val="0"/>
              </w:rPr>
              <w:t>20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分</w:t>
            </w:r>
            <w:r>
              <w:rPr>
                <w:rFonts w:ascii="仿宋_GB2312" w:hAnsi="宋体" w:eastAsia="仿宋_GB2312" w:cs="仿宋_GB2312"/>
                <w:kern w:val="0"/>
              </w:rPr>
              <w:t>*</w:t>
            </w:r>
            <w:r>
              <w:rPr>
                <w:rFonts w:hint="eastAsia" w:ascii="仿宋_GB2312" w:hAnsi="宋体" w:eastAsia="仿宋_GB2312" w:cs="仿宋_GB2312"/>
                <w:kern w:val="0"/>
              </w:rPr>
              <w:t>执行率）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continue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1122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1319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/>
                <w:kern w:val="0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/>
                <w:kern w:val="0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98.29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/>
                <w:kern w:val="0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98.29%</w:t>
            </w:r>
          </w:p>
        </w:tc>
        <w:tc>
          <w:tcPr>
            <w:tcW w:w="2196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/>
                <w:kern w:val="0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19.66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82" w:type="dxa"/>
            <w:vMerge w:val="restart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年度绩效目标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一级</w:t>
            </w:r>
          </w:p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879" w:type="dxa"/>
            <w:gridSpan w:val="2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二级指标</w:t>
            </w:r>
          </w:p>
        </w:tc>
        <w:tc>
          <w:tcPr>
            <w:tcW w:w="1879" w:type="dxa"/>
            <w:gridSpan w:val="3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三级指标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年初目标值（</w:t>
            </w:r>
            <w:r>
              <w:rPr>
                <w:rFonts w:ascii="仿宋_GB2312" w:hAnsi="宋体" w:eastAsia="仿宋_GB2312" w:cs="仿宋_GB2312"/>
                <w:kern w:val="0"/>
              </w:rPr>
              <w:t>A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）</w:t>
            </w:r>
          </w:p>
        </w:tc>
        <w:tc>
          <w:tcPr>
            <w:tcW w:w="1319" w:type="dxa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实际完成值（</w:t>
            </w:r>
            <w:r>
              <w:rPr>
                <w:rFonts w:ascii="仿宋_GB2312" w:hAnsi="宋体" w:eastAsia="仿宋_GB2312" w:cs="仿宋_GB2312"/>
                <w:kern w:val="0"/>
              </w:rPr>
              <w:t>B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）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82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946" w:type="dxa"/>
            <w:vMerge w:val="restart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产出</w:t>
            </w:r>
          </w:p>
          <w:p>
            <w:pPr>
              <w:widowControl/>
              <w:snapToGrid w:val="0"/>
              <w:spacing w:line="520" w:lineRule="exact"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  <w:p>
            <w:pPr>
              <w:widowControl/>
              <w:snapToGrid w:val="0"/>
              <w:spacing w:line="520" w:lineRule="exact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2"/>
              </w:rPr>
              <w:t>（40分）</w:t>
            </w:r>
          </w:p>
        </w:tc>
        <w:tc>
          <w:tcPr>
            <w:tcW w:w="1879" w:type="dxa"/>
            <w:gridSpan w:val="2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eastAsia"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数量指标</w:t>
            </w:r>
          </w:p>
        </w:tc>
        <w:tc>
          <w:tcPr>
            <w:tcW w:w="1879" w:type="dxa"/>
            <w:gridSpan w:val="3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eastAsia"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市级信息中心</w:t>
            </w: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建设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default" w:ascii="仿宋_GB2312" w:hAnsi="宋体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lang w:val="en-US" w:eastAsia="zh-CN"/>
              </w:rPr>
              <w:t>1个</w:t>
            </w:r>
          </w:p>
        </w:tc>
        <w:tc>
          <w:tcPr>
            <w:tcW w:w="1319" w:type="dxa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eastAsia" w:ascii="仿宋_GB2312" w:hAnsi="宋体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lang w:val="en-US" w:eastAsia="zh-CN"/>
              </w:rPr>
              <w:t>完成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default" w:ascii="仿宋_GB2312" w:hAnsi="宋体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82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946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1879" w:type="dxa"/>
            <w:gridSpan w:val="2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eastAsia"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质量指标</w:t>
            </w:r>
          </w:p>
        </w:tc>
        <w:tc>
          <w:tcPr>
            <w:tcW w:w="1879" w:type="dxa"/>
            <w:gridSpan w:val="3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eastAsia"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信息分中心</w:t>
            </w: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建设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  <w:lang w:val="en-US" w:eastAsia="zh-CN"/>
              </w:rPr>
              <w:t>1个</w:t>
            </w:r>
          </w:p>
        </w:tc>
        <w:tc>
          <w:tcPr>
            <w:tcW w:w="1319" w:type="dxa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  <w:lang w:val="en-US" w:eastAsia="zh-CN"/>
              </w:rPr>
              <w:t>完成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82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946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1879" w:type="dxa"/>
            <w:gridSpan w:val="2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eastAsia"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时效指标</w:t>
            </w:r>
          </w:p>
        </w:tc>
        <w:tc>
          <w:tcPr>
            <w:tcW w:w="1879" w:type="dxa"/>
            <w:gridSpan w:val="3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预算年度内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default" w:ascii="仿宋_GB2312" w:hAnsi="宋体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lang w:val="en-US" w:eastAsia="zh-CN"/>
              </w:rPr>
              <w:t>2020年度内</w:t>
            </w:r>
          </w:p>
        </w:tc>
        <w:tc>
          <w:tcPr>
            <w:tcW w:w="1319" w:type="dxa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  <w:lang w:val="en-US" w:eastAsia="zh-CN"/>
              </w:rPr>
              <w:t>完成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82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946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1879" w:type="dxa"/>
            <w:gridSpan w:val="2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eastAsia"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成本指标</w:t>
            </w:r>
          </w:p>
        </w:tc>
        <w:tc>
          <w:tcPr>
            <w:tcW w:w="1879" w:type="dxa"/>
            <w:gridSpan w:val="3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预算执行率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default" w:ascii="仿宋_GB2312" w:hAnsi="宋体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lang w:val="en-US" w:eastAsia="zh-CN"/>
              </w:rPr>
              <w:t>不低于90%</w:t>
            </w:r>
          </w:p>
        </w:tc>
        <w:tc>
          <w:tcPr>
            <w:tcW w:w="1319" w:type="dxa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98.29%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82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946" w:type="dxa"/>
            <w:vMerge w:val="restart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效益</w:t>
            </w:r>
          </w:p>
          <w:p>
            <w:pPr>
              <w:widowControl/>
              <w:snapToGrid w:val="0"/>
              <w:spacing w:line="520" w:lineRule="exact"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  <w:p>
            <w:pPr>
              <w:widowControl/>
              <w:snapToGrid w:val="0"/>
              <w:spacing w:line="520" w:lineRule="exact"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2"/>
              </w:rPr>
              <w:t>（</w:t>
            </w: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2"/>
                <w:lang w:val="en-US" w:eastAsia="zh-CN"/>
              </w:rPr>
              <w:t>40</w:t>
            </w: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2"/>
              </w:rPr>
              <w:t>分）</w:t>
            </w:r>
          </w:p>
        </w:tc>
        <w:tc>
          <w:tcPr>
            <w:tcW w:w="1879" w:type="dxa"/>
            <w:gridSpan w:val="2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eastAsia"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经济效益指标</w:t>
            </w:r>
          </w:p>
        </w:tc>
        <w:tc>
          <w:tcPr>
            <w:tcW w:w="1879" w:type="dxa"/>
            <w:gridSpan w:val="3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通过项目的实施能够促进第三产业发展，促进就业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  <w:lang w:val="en-US" w:eastAsia="zh-CN"/>
              </w:rPr>
              <w:t>效果显著</w:t>
            </w:r>
          </w:p>
        </w:tc>
        <w:tc>
          <w:tcPr>
            <w:tcW w:w="1319" w:type="dxa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  <w:lang w:val="en-US" w:eastAsia="zh-CN"/>
              </w:rPr>
              <w:t>完成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82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946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1879" w:type="dxa"/>
            <w:gridSpan w:val="2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eastAsia"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社会效益指标</w:t>
            </w:r>
          </w:p>
        </w:tc>
        <w:tc>
          <w:tcPr>
            <w:tcW w:w="1879" w:type="dxa"/>
            <w:gridSpan w:val="3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eastAsia"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搭建县市区智慧养老分平台和社区智慧养老中心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default" w:ascii="仿宋_GB2312" w:hAnsi="宋体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lang w:val="en-US" w:eastAsia="zh-CN"/>
              </w:rPr>
              <w:t>效果显著</w:t>
            </w:r>
          </w:p>
        </w:tc>
        <w:tc>
          <w:tcPr>
            <w:tcW w:w="1319" w:type="dxa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eastAsia" w:ascii="仿宋_GB2312" w:hAnsi="宋体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lang w:val="en-US" w:eastAsia="zh-CN"/>
              </w:rPr>
              <w:t>完成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82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946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1879" w:type="dxa"/>
            <w:gridSpan w:val="2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eastAsia"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社会效益指标</w:t>
            </w:r>
          </w:p>
        </w:tc>
        <w:tc>
          <w:tcPr>
            <w:tcW w:w="1879" w:type="dxa"/>
            <w:gridSpan w:val="3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eastAsia"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实现各平台之间互联互通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  <w:lang w:val="en-US" w:eastAsia="zh-CN"/>
              </w:rPr>
              <w:t>效果显著</w:t>
            </w:r>
          </w:p>
        </w:tc>
        <w:tc>
          <w:tcPr>
            <w:tcW w:w="1319" w:type="dxa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  <w:lang w:val="en-US" w:eastAsia="zh-CN"/>
              </w:rPr>
              <w:t>完成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82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946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1879" w:type="dxa"/>
            <w:gridSpan w:val="2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eastAsia"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社会效益指标</w:t>
            </w:r>
          </w:p>
        </w:tc>
        <w:tc>
          <w:tcPr>
            <w:tcW w:w="1879" w:type="dxa"/>
            <w:gridSpan w:val="3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eastAsia"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为居家养老工作提供强有力的技术保障，同时为其他社区综合养老服务中心提供技术服务支持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  <w:lang w:val="en-US" w:eastAsia="zh-CN"/>
              </w:rPr>
              <w:t>效果显著</w:t>
            </w:r>
          </w:p>
        </w:tc>
        <w:tc>
          <w:tcPr>
            <w:tcW w:w="1319" w:type="dxa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  <w:lang w:val="en-US" w:eastAsia="zh-CN"/>
              </w:rPr>
              <w:t>完成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  <w:jc w:val="center"/>
        </w:trPr>
        <w:tc>
          <w:tcPr>
            <w:tcW w:w="582" w:type="dxa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总分</w:t>
            </w:r>
          </w:p>
        </w:tc>
        <w:tc>
          <w:tcPr>
            <w:tcW w:w="8366" w:type="dxa"/>
            <w:gridSpan w:val="9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default" w:ascii="仿宋_GB2312" w:hAnsi="宋体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lang w:val="en-US" w:eastAsia="zh-CN"/>
              </w:rPr>
              <w:t>99.66分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  <w:jc w:val="center"/>
        </w:trPr>
        <w:tc>
          <w:tcPr>
            <w:tcW w:w="152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偏差大或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目标未完成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原因分析</w:t>
            </w:r>
          </w:p>
        </w:tc>
        <w:tc>
          <w:tcPr>
            <w:tcW w:w="7420" w:type="dxa"/>
            <w:gridSpan w:val="8"/>
            <w:noWrap w:val="0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lang w:val="en-US" w:eastAsia="zh-CN"/>
              </w:rPr>
              <w:t>暂无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  <w:jc w:val="center"/>
        </w:trPr>
        <w:tc>
          <w:tcPr>
            <w:tcW w:w="152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改进措施及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结果应用方案</w:t>
            </w:r>
          </w:p>
        </w:tc>
        <w:tc>
          <w:tcPr>
            <w:tcW w:w="7420" w:type="dxa"/>
            <w:gridSpan w:val="8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1E3C3A"/>
    <w:rsid w:val="1B1E3C3A"/>
    <w:rsid w:val="1F1B3882"/>
    <w:rsid w:val="6FEF0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缩进 + 首行缩进:  2 字符"/>
    <w:basedOn w:val="1"/>
    <w:qFormat/>
    <w:uiPriority w:val="0"/>
    <w:pPr>
      <w:spacing w:line="560" w:lineRule="exact"/>
      <w:ind w:firstLine="640"/>
    </w:pPr>
    <w:rPr>
      <w:rFonts w:ascii="仿宋" w:hAnsi="仿宋" w:eastAsia="仿宋" w:cs="宋体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2021-09-17T02:06:00Z</dcterms:created>
  <dc:creator>holll</dc:creator>
  <cp:lastModifiedBy>郝</cp:lastModifiedBy>
  <dcterms:modified xsi:type="dcterms:W3CDTF">2021-09-19T12:31:15Z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107E47E1F7ED468E8128B82F61C7CEDF</vt:lpwstr>
  </property>
</Properties>
</file>